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808F" w14:textId="3F031FA5" w:rsidR="00772887" w:rsidRDefault="00DE381A" w:rsidP="00772887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C805A0">
        <w:rPr>
          <w:rFonts w:cs="Times New Roman"/>
          <w:lang w:val="it-IT"/>
        </w:rPr>
        <w:t>4</w:t>
      </w:r>
      <w:r w:rsidR="00B9365F">
        <w:rPr>
          <w:rFonts w:cs="Times New Roman"/>
          <w:lang w:val="it-IT"/>
        </w:rPr>
        <w:t>7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FF60F7" w14:textId="77777777" w:rsidR="00772887" w:rsidRDefault="00772887" w:rsidP="00772887">
      <w:pPr>
        <w:ind w:left="-284" w:right="-575"/>
        <w:rPr>
          <w:rFonts w:cs="Times New Roman"/>
          <w:lang w:val="it-IT"/>
        </w:rPr>
      </w:pPr>
    </w:p>
    <w:p w14:paraId="6A82D175" w14:textId="77777777" w:rsidR="00B9365F" w:rsidRPr="00B9365F" w:rsidRDefault="00B9365F" w:rsidP="00B9365F">
      <w:pPr>
        <w:widowControl w:val="0"/>
        <w:spacing w:line="276" w:lineRule="auto"/>
        <w:ind w:left="-284"/>
        <w:rPr>
          <w:rFonts w:eastAsia="Times New Roman" w:cs="Times New Roman"/>
          <w:b/>
          <w:sz w:val="28"/>
          <w:szCs w:val="28"/>
          <w:lang w:val="it-IT"/>
        </w:rPr>
      </w:pPr>
      <w:r w:rsidRPr="00B9365F">
        <w:rPr>
          <w:rFonts w:eastAsia="Times New Roman" w:cs="Times New Roman"/>
          <w:b/>
          <w:sz w:val="28"/>
          <w:szCs w:val="28"/>
          <w:lang w:val="it-IT"/>
        </w:rPr>
        <w:t>Energia rinnovabile: dalle biomasse agricole un potenziale enorme</w:t>
      </w:r>
    </w:p>
    <w:p w14:paraId="37AA6260" w14:textId="77777777" w:rsidR="00B9365F" w:rsidRPr="00B9365F" w:rsidRDefault="00B9365F" w:rsidP="00B9365F">
      <w:pPr>
        <w:widowControl w:val="0"/>
        <w:spacing w:line="276" w:lineRule="auto"/>
        <w:ind w:left="-284"/>
        <w:rPr>
          <w:rFonts w:eastAsia="Times New Roman" w:cs="Times New Roman"/>
          <w:b/>
          <w:lang w:val="it-IT"/>
        </w:rPr>
      </w:pPr>
    </w:p>
    <w:p w14:paraId="1E8CD3CB" w14:textId="5C610EBE" w:rsidR="00B9365F" w:rsidRPr="00B9365F" w:rsidRDefault="00B9365F" w:rsidP="00B9365F">
      <w:pPr>
        <w:widowControl w:val="0"/>
        <w:spacing w:line="276" w:lineRule="auto"/>
        <w:ind w:left="-284"/>
        <w:rPr>
          <w:rFonts w:eastAsia="Times New Roman" w:cs="Times New Roman"/>
          <w:b/>
          <w:i/>
          <w:iCs/>
          <w:lang w:val="it-IT"/>
        </w:rPr>
      </w:pPr>
      <w:r w:rsidRPr="00B9365F">
        <w:rPr>
          <w:rFonts w:eastAsia="Times New Roman" w:cs="Times New Roman"/>
          <w:b/>
          <w:i/>
          <w:iCs/>
          <w:lang w:val="it-IT"/>
        </w:rPr>
        <w:t>L’energia ricavata dai residu</w:t>
      </w:r>
      <w:r>
        <w:rPr>
          <w:rFonts w:eastAsia="Times New Roman" w:cs="Times New Roman"/>
          <w:b/>
          <w:i/>
          <w:iCs/>
          <w:lang w:val="it-IT"/>
        </w:rPr>
        <w:t>i</w:t>
      </w:r>
      <w:r w:rsidRPr="00B9365F">
        <w:rPr>
          <w:rFonts w:eastAsia="Times New Roman" w:cs="Times New Roman"/>
          <w:b/>
          <w:i/>
          <w:iCs/>
          <w:lang w:val="it-IT"/>
        </w:rPr>
        <w:t xml:space="preserve"> agricoli, agroindustriali e forestali copre già oggi il 10% del fabbisogno del Paese, ma la quota è destinata a raddoppiare entro il 2050. </w:t>
      </w:r>
    </w:p>
    <w:p w14:paraId="1BA5E133" w14:textId="77777777" w:rsidR="00B9365F" w:rsidRPr="00B9365F" w:rsidRDefault="00B9365F" w:rsidP="00B9365F">
      <w:pPr>
        <w:widowControl w:val="0"/>
        <w:spacing w:line="276" w:lineRule="auto"/>
        <w:ind w:left="-284"/>
        <w:jc w:val="center"/>
        <w:rPr>
          <w:rFonts w:eastAsia="Times New Roman" w:cs="Times New Roman"/>
          <w:b/>
          <w:i/>
          <w:iCs/>
          <w:lang w:val="it-IT"/>
        </w:rPr>
      </w:pPr>
    </w:p>
    <w:p w14:paraId="45BD1BD2" w14:textId="77777777" w:rsidR="00B9365F" w:rsidRPr="00B9365F" w:rsidRDefault="00B9365F" w:rsidP="00B9365F">
      <w:pPr>
        <w:widowControl w:val="0"/>
        <w:spacing w:after="120" w:line="276" w:lineRule="auto"/>
        <w:ind w:left="-284"/>
        <w:jc w:val="both"/>
        <w:rPr>
          <w:rFonts w:eastAsia="Times New Roman" w:cs="Times New Roman"/>
          <w:lang w:val="it-IT"/>
        </w:rPr>
      </w:pPr>
      <w:r w:rsidRPr="00B9365F">
        <w:rPr>
          <w:rFonts w:eastAsia="Times New Roman" w:cs="Times New Roman"/>
          <w:lang w:val="it-IT"/>
        </w:rPr>
        <w:t>Gli ambiziosi obiettivi contenuti nelle Strategie europee ed internazionali per contrastare i cambiamenti climatici e la crisi energetica richiedono l’adozione di soluzioni di bioeconomia circolare con misure di</w:t>
      </w:r>
      <w:r w:rsidRPr="00B9365F">
        <w:rPr>
          <w:rFonts w:eastAsia="Times New Roman" w:cs="Times New Roman"/>
          <w:i/>
          <w:lang w:val="it-IT"/>
        </w:rPr>
        <w:t xml:space="preserve"> </w:t>
      </w:r>
      <w:r w:rsidRPr="00B9365F">
        <w:rPr>
          <w:rFonts w:eastAsia="Times New Roman" w:cs="Times New Roman"/>
          <w:lang w:val="it-IT"/>
        </w:rPr>
        <w:t>efficientamento energetico e ricorso alle fonti rinnovabili. In quest’ottica, un ruolo centrale spetta alla bioenergia la cui attuale quota di produzione (quasi il 10% del totale dei consumi energetici) dovrà essere incrementata fino a raddoppiare entro il 2050. Questi i dati diffusi a Bologna, nell’ambito di Eima International, la rassegna della meccanica agricola che dedica il Salone “Energy” e un’area per le prove dinamiche proprio ai macchinari per gestire le biomasse destinate agli impieghi energetici. “Tra tutte le rinnovabili la bioenergia è la fonte più strettamente legata al territorio – spiega Matteo Monni, Vicepresidente di ITABIA, l’</w:t>
      </w:r>
      <w:proofErr w:type="spellStart"/>
      <w:r w:rsidRPr="00B9365F">
        <w:rPr>
          <w:rFonts w:eastAsia="Times New Roman" w:cs="Times New Roman"/>
          <w:lang w:val="it-IT"/>
        </w:rPr>
        <w:t>Italian</w:t>
      </w:r>
      <w:proofErr w:type="spellEnd"/>
      <w:r w:rsidRPr="00B9365F">
        <w:rPr>
          <w:rFonts w:eastAsia="Times New Roman" w:cs="Times New Roman"/>
          <w:lang w:val="it-IT"/>
        </w:rPr>
        <w:t xml:space="preserve"> </w:t>
      </w:r>
      <w:proofErr w:type="spellStart"/>
      <w:r w:rsidRPr="00B9365F">
        <w:rPr>
          <w:rFonts w:eastAsia="Times New Roman" w:cs="Times New Roman"/>
          <w:lang w:val="it-IT"/>
        </w:rPr>
        <w:t>Biomass</w:t>
      </w:r>
      <w:proofErr w:type="spellEnd"/>
      <w:r w:rsidRPr="00B9365F">
        <w:rPr>
          <w:rFonts w:eastAsia="Times New Roman" w:cs="Times New Roman"/>
          <w:lang w:val="it-IT"/>
        </w:rPr>
        <w:t xml:space="preserve"> Association che è organizzatrice del Salone Energy - presentando ricadute positive in ambiti che vanno dalla corretta gestione della risorsa boschiva alla multifunzionalità dell’agricoltura, fino allo sviluppo sostenibile e alla resilienza del tessuto produttivo delle aree rurali e montane a rischio di spopolamento e abbandono. Da un punto di vista tecnologico, il mercato nazionale offre già da anni soluzioni eccellenti, sia per la meccanizzazione legata alla movimentazione della biomassa agroforestale, sia per i relativi impianti di conversione energetica.</w:t>
      </w:r>
    </w:p>
    <w:p w14:paraId="56BCE82C" w14:textId="70C7B5D5" w:rsidR="004128DC" w:rsidRPr="00772887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1010935A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B9365F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2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1122" w14:textId="77777777" w:rsidR="00FF14E4" w:rsidRDefault="00FF14E4">
      <w:r>
        <w:separator/>
      </w:r>
    </w:p>
  </w:endnote>
  <w:endnote w:type="continuationSeparator" w:id="0">
    <w:p w14:paraId="4CB53CB6" w14:textId="77777777" w:rsidR="00FF14E4" w:rsidRDefault="00FF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1E6F" w14:textId="77777777" w:rsidR="00FF14E4" w:rsidRDefault="00FF14E4">
      <w:r>
        <w:separator/>
      </w:r>
    </w:p>
  </w:footnote>
  <w:footnote w:type="continuationSeparator" w:id="0">
    <w:p w14:paraId="2A51E483" w14:textId="77777777" w:rsidR="00FF14E4" w:rsidRDefault="00FF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2022-11-12T09:18:00Z</dcterms:created>
  <dcterms:modified xsi:type="dcterms:W3CDTF">2022-11-12T09:18:00Z</dcterms:modified>
</cp:coreProperties>
</file>