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8BDF" w14:textId="5FB8B91C" w:rsidR="00E445E5" w:rsidRDefault="00E445E5" w:rsidP="00DF35BB">
      <w:pPr>
        <w:ind w:left="2127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Comunicato stampa</w:t>
      </w:r>
    </w:p>
    <w:p w14:paraId="0C05B010" w14:textId="77777777" w:rsidR="00E445E5" w:rsidRDefault="00E445E5" w:rsidP="00DF35BB">
      <w:pPr>
        <w:ind w:left="2127"/>
        <w:jc w:val="both"/>
        <w:rPr>
          <w:i/>
          <w:sz w:val="25"/>
          <w:szCs w:val="25"/>
        </w:rPr>
      </w:pPr>
    </w:p>
    <w:p w14:paraId="379994D5" w14:textId="77777777" w:rsidR="007F17F6" w:rsidRPr="007F17F6" w:rsidRDefault="007F17F6" w:rsidP="00DF35BB">
      <w:pPr>
        <w:ind w:left="2127"/>
        <w:jc w:val="both"/>
        <w:rPr>
          <w:b/>
          <w:sz w:val="28"/>
          <w:szCs w:val="28"/>
        </w:rPr>
      </w:pPr>
      <w:r w:rsidRPr="007F17F6">
        <w:rPr>
          <w:b/>
          <w:sz w:val="28"/>
          <w:szCs w:val="28"/>
        </w:rPr>
        <w:t>Trattori, in Puglia il mercato cresce a passo di record</w:t>
      </w:r>
    </w:p>
    <w:p w14:paraId="19EF7DD5" w14:textId="77777777" w:rsidR="007F17F6" w:rsidRDefault="007F17F6" w:rsidP="00DF35BB">
      <w:pPr>
        <w:ind w:left="2127"/>
        <w:jc w:val="both"/>
        <w:rPr>
          <w:b/>
        </w:rPr>
      </w:pPr>
    </w:p>
    <w:p w14:paraId="13BB0EAD" w14:textId="0A8475CB" w:rsidR="007F17F6" w:rsidRPr="006501EB" w:rsidRDefault="007F17F6" w:rsidP="00DF35BB">
      <w:pPr>
        <w:ind w:left="2127"/>
        <w:jc w:val="both"/>
        <w:rPr>
          <w:b/>
          <w:i/>
          <w:iCs/>
        </w:rPr>
      </w:pPr>
      <w:r w:rsidRPr="006501EB">
        <w:rPr>
          <w:b/>
          <w:i/>
          <w:iCs/>
        </w:rPr>
        <w:t>Nel 2021 le</w:t>
      </w:r>
      <w:r w:rsidR="00520E15" w:rsidRPr="006501EB">
        <w:rPr>
          <w:b/>
          <w:i/>
          <w:iCs/>
        </w:rPr>
        <w:t xml:space="preserve"> immatricolazioni di trattrici raggiungono quota 2.135 unità, </w:t>
      </w:r>
      <w:r w:rsidRPr="006501EB">
        <w:rPr>
          <w:b/>
          <w:i/>
          <w:iCs/>
        </w:rPr>
        <w:t xml:space="preserve">il </w:t>
      </w:r>
      <w:r w:rsidR="00520E15" w:rsidRPr="006501EB">
        <w:rPr>
          <w:b/>
          <w:i/>
          <w:iCs/>
        </w:rPr>
        <w:t>miglior risultato</w:t>
      </w:r>
      <w:r w:rsidRPr="006501EB">
        <w:rPr>
          <w:b/>
          <w:i/>
          <w:iCs/>
        </w:rPr>
        <w:t xml:space="preserve"> d</w:t>
      </w:r>
      <w:r w:rsidR="00F025FF" w:rsidRPr="006501EB">
        <w:rPr>
          <w:b/>
          <w:i/>
          <w:iCs/>
        </w:rPr>
        <w:t>al 2010. In termini percentuali</w:t>
      </w:r>
      <w:r w:rsidRPr="006501EB">
        <w:rPr>
          <w:b/>
          <w:i/>
          <w:iCs/>
        </w:rPr>
        <w:t xml:space="preserve"> </w:t>
      </w:r>
      <w:r w:rsidR="00520E15" w:rsidRPr="006501EB">
        <w:rPr>
          <w:b/>
          <w:i/>
          <w:iCs/>
        </w:rPr>
        <w:t xml:space="preserve">in Puglia </w:t>
      </w:r>
      <w:r w:rsidR="00E30809" w:rsidRPr="006501EB">
        <w:rPr>
          <w:b/>
          <w:i/>
          <w:iCs/>
        </w:rPr>
        <w:t xml:space="preserve">il settore </w:t>
      </w:r>
      <w:r w:rsidRPr="006501EB">
        <w:rPr>
          <w:b/>
          <w:i/>
          <w:iCs/>
        </w:rPr>
        <w:t xml:space="preserve">è cresciuto del 32% rispetto </w:t>
      </w:r>
      <w:r w:rsidR="00F025FF" w:rsidRPr="006501EB">
        <w:rPr>
          <w:b/>
          <w:i/>
          <w:iCs/>
        </w:rPr>
        <w:t>allo scorso anno,</w:t>
      </w:r>
      <w:r w:rsidRPr="006501EB">
        <w:rPr>
          <w:b/>
          <w:i/>
          <w:iCs/>
        </w:rPr>
        <w:t xml:space="preserve"> un dato in linea con quello </w:t>
      </w:r>
      <w:r w:rsidR="00E30809" w:rsidRPr="006501EB">
        <w:rPr>
          <w:b/>
          <w:i/>
          <w:iCs/>
        </w:rPr>
        <w:t xml:space="preserve">record registrato a livello </w:t>
      </w:r>
      <w:r w:rsidR="00506FD4" w:rsidRPr="006501EB">
        <w:rPr>
          <w:b/>
          <w:i/>
          <w:iCs/>
        </w:rPr>
        <w:t>nazionale</w:t>
      </w:r>
      <w:r w:rsidRPr="006501EB">
        <w:rPr>
          <w:b/>
          <w:i/>
          <w:iCs/>
        </w:rPr>
        <w:t xml:space="preserve">. Puglia </w:t>
      </w:r>
      <w:r w:rsidR="00187D75" w:rsidRPr="006501EB">
        <w:rPr>
          <w:b/>
          <w:i/>
          <w:iCs/>
        </w:rPr>
        <w:t xml:space="preserve">regione </w:t>
      </w:r>
      <w:r w:rsidR="004E768B" w:rsidRPr="006501EB">
        <w:rPr>
          <w:b/>
          <w:i/>
          <w:iCs/>
        </w:rPr>
        <w:t xml:space="preserve">leader del Mezzogiorno. </w:t>
      </w:r>
    </w:p>
    <w:p w14:paraId="0A2EC277" w14:textId="77777777" w:rsidR="007F17F6" w:rsidRDefault="007F17F6" w:rsidP="00DF35BB">
      <w:pPr>
        <w:ind w:left="2127"/>
        <w:jc w:val="both"/>
      </w:pPr>
    </w:p>
    <w:p w14:paraId="3EE70AE0" w14:textId="5990CFFE" w:rsidR="007F17F6" w:rsidRDefault="007F17F6" w:rsidP="00DF35BB">
      <w:pPr>
        <w:ind w:left="2127"/>
        <w:jc w:val="both"/>
      </w:pPr>
      <w:r>
        <w:t xml:space="preserve">Numeri da primato in Puglia per il mercato dei trattori. In un contesto nazionale caratterizzato nel 2021 da un incremento generale delle vendite (+36% sul 2020, in ragione di 24.400 unità), la regione segna +32% con 2.135 unità immatricolate e tocca i massimi dal 2010. E’ quanto emerge dai dati regionali relativi alle immatricolazioni di trattrici, elaborati dall’Ufficio Studi di </w:t>
      </w:r>
      <w:proofErr w:type="spellStart"/>
      <w:r>
        <w:t>FederUnacoma</w:t>
      </w:r>
      <w:proofErr w:type="spellEnd"/>
      <w:r>
        <w:t xml:space="preserve"> sulla base </w:t>
      </w:r>
      <w:proofErr w:type="gramStart"/>
      <w:r>
        <w:t>delle  statistiche</w:t>
      </w:r>
      <w:proofErr w:type="gramEnd"/>
      <w:r>
        <w:t xml:space="preserve"> fornite dal Ministero dei Trasporti. L’andamento del comparto </w:t>
      </w:r>
      <w:proofErr w:type="spellStart"/>
      <w:r>
        <w:t>agromeccanico</w:t>
      </w:r>
      <w:proofErr w:type="spellEnd"/>
      <w:r>
        <w:t xml:space="preserve"> locale è stato illustrato </w:t>
      </w:r>
      <w:r w:rsidR="005112CA">
        <w:t>oggi pomeriggio</w:t>
      </w:r>
      <w:r>
        <w:t xml:space="preserve"> in occasione di una conferenza stampa tenutasi a Bari nella cornice della rassegna </w:t>
      </w:r>
      <w:proofErr w:type="spellStart"/>
      <w:r>
        <w:t>Enoliexpo</w:t>
      </w:r>
      <w:proofErr w:type="spellEnd"/>
      <w:r>
        <w:t>.  Lo s</w:t>
      </w:r>
      <w:r w:rsidR="00926473">
        <w:t xml:space="preserve">corso anno </w:t>
      </w:r>
      <w:r w:rsidR="005112CA">
        <w:t>-</w:t>
      </w:r>
      <w:r>
        <w:t xml:space="preserve"> </w:t>
      </w:r>
      <w:r w:rsidR="00926473">
        <w:t>ha spiegato durante la conferenza</w:t>
      </w:r>
      <w:r>
        <w:t xml:space="preserve"> </w:t>
      </w:r>
      <w:r w:rsidR="00926473">
        <w:t xml:space="preserve">stampa il direttore generale di </w:t>
      </w:r>
      <w:proofErr w:type="spellStart"/>
      <w:r w:rsidR="00926473">
        <w:t>FederUnacoma</w:t>
      </w:r>
      <w:proofErr w:type="spellEnd"/>
      <w:r w:rsidR="00926473">
        <w:t xml:space="preserve">, Simona </w:t>
      </w:r>
      <w:proofErr w:type="spellStart"/>
      <w:r w:rsidR="00926473">
        <w:t>Rapastella</w:t>
      </w:r>
      <w:proofErr w:type="spellEnd"/>
      <w:r w:rsidR="00926473">
        <w:t xml:space="preserve"> - </w:t>
      </w:r>
      <w:r>
        <w:t xml:space="preserve">il settore della meccanica agricola pugliese si è segnalato come uno dei più dinamici del Paese. I dati relativi al volume delle vendite collocano infatti la Puglia al quinto posto in Italia dietro alle regioni agricole del Nord </w:t>
      </w:r>
      <w:proofErr w:type="gramStart"/>
      <w:r>
        <w:t>–  Piemonte</w:t>
      </w:r>
      <w:proofErr w:type="gramEnd"/>
      <w:r>
        <w:t xml:space="preserve"> (2.975 mezzi immatricolati), Lombardia (2.663), Veneto (2.549) ed Emilia Romagna (2.302) –</w:t>
      </w:r>
      <w:r w:rsidR="00483120">
        <w:t xml:space="preserve"> e davanti a regioni </w:t>
      </w:r>
      <w:r w:rsidR="0010091E">
        <w:t xml:space="preserve">pure </w:t>
      </w:r>
      <w:r w:rsidR="00483120">
        <w:t xml:space="preserve">importanti come </w:t>
      </w:r>
      <w:r>
        <w:t>la Sicilia (1.843 mezzi) e la Campania (1</w:t>
      </w:r>
      <w:r w:rsidR="00503762">
        <w:t>.</w:t>
      </w:r>
      <w:r>
        <w:t xml:space="preserve">394). Il dato cumulato riferito alle sole regioni meridionali conferma la grande vitalità del mercato pugliese dove nel 2021 è stato immatricolato il </w:t>
      </w:r>
      <w:r w:rsidR="00A94A30">
        <w:t>27</w:t>
      </w:r>
      <w:r>
        <w:t>% di tutte le trattrici vendute nel Sud Italia (7.</w:t>
      </w:r>
      <w:r w:rsidR="00A94A30">
        <w:t>890</w:t>
      </w:r>
      <w:r>
        <w:t>).</w:t>
      </w:r>
    </w:p>
    <w:p w14:paraId="4098FD54" w14:textId="26278EC8" w:rsidR="007F17F6" w:rsidRDefault="007F17F6" w:rsidP="00DF35BB">
      <w:pPr>
        <w:ind w:left="2127"/>
        <w:jc w:val="both"/>
      </w:pPr>
      <w:r>
        <w:t>Saldo attivo anche per tutte le province puglies</w:t>
      </w:r>
      <w:r w:rsidR="00503762">
        <w:t>i</w:t>
      </w:r>
      <w:r>
        <w:t xml:space="preserve"> che hanno visto un incremento generalizzato delle immatricolazioni. I progressi più significativi si registrano in quelle di Barletta-Andria-Trani (+42%), Lecce (+41%) e Foggia (+39%). Segno ampiamente positivo per Taranto (+31%) e Bari (+25%), mentre più contenute risultano le percentuali di Brindisi (+3,1%). I</w:t>
      </w:r>
      <w:r w:rsidR="005E1D73">
        <w:t>n termini di unità</w:t>
      </w:r>
      <w:r>
        <w:t xml:space="preserve"> </w:t>
      </w:r>
      <w:r w:rsidR="005E1D73">
        <w:t>vendute</w:t>
      </w:r>
      <w:r w:rsidR="001741B8">
        <w:t xml:space="preserve"> </w:t>
      </w:r>
      <w:r>
        <w:t>la leadership regionale</w:t>
      </w:r>
      <w:r w:rsidR="001741B8">
        <w:t xml:space="preserve"> spetta</w:t>
      </w:r>
      <w:r>
        <w:t xml:space="preserve"> alla provincia di Foggia con 727 macchine vendute, seguita da Bari (511) e Barletta-Andria-Trani (329). Numeri più contenuti, invece, per la provincia Taranto (253) e Lecce (183) mentre Brindisi </w:t>
      </w:r>
      <w:r w:rsidR="001741B8">
        <w:t>segna</w:t>
      </w:r>
      <w:r>
        <w:t xml:space="preserve"> 132 immatricolazioni.</w:t>
      </w:r>
    </w:p>
    <w:p w14:paraId="7A9DC9BB" w14:textId="6AA7B731" w:rsidR="00F16D73" w:rsidRDefault="0091365F" w:rsidP="00DF35BB">
      <w:pPr>
        <w:ind w:left="2127"/>
        <w:jc w:val="both"/>
      </w:pPr>
      <w:r>
        <w:t>A livello regionale, i</w:t>
      </w:r>
      <w:r w:rsidR="000D7055">
        <w:t>ncrementi</w:t>
      </w:r>
      <w:r w:rsidR="00F16D73">
        <w:t xml:space="preserve"> consistenti</w:t>
      </w:r>
      <w:r w:rsidR="000D7055">
        <w:t xml:space="preserve"> registrano</w:t>
      </w:r>
      <w:r w:rsidR="0034514B">
        <w:t xml:space="preserve"> </w:t>
      </w:r>
      <w:r w:rsidR="000D7055">
        <w:t xml:space="preserve">anche </w:t>
      </w:r>
      <w:r w:rsidR="0019614F">
        <w:t>altre</w:t>
      </w:r>
      <w:r w:rsidR="00F16D73">
        <w:t xml:space="preserve"> </w:t>
      </w:r>
      <w:r w:rsidR="000D7055">
        <w:t xml:space="preserve">tipologie di </w:t>
      </w:r>
      <w:r w:rsidR="00F16D73">
        <w:t>macchine. Mietitrebbie e sollevatori t</w:t>
      </w:r>
      <w:r w:rsidR="0019614F">
        <w:t xml:space="preserve">elescopici segnano rispettivamente +50% e +58,7% sul 2021. </w:t>
      </w:r>
      <w:r w:rsidR="00681E65">
        <w:t>Progressi</w:t>
      </w:r>
      <w:r w:rsidR="0019614F">
        <w:t xml:space="preserve"> più contenuti </w:t>
      </w:r>
      <w:r w:rsidR="0069345B">
        <w:t>caratterizzano</w:t>
      </w:r>
      <w:r w:rsidR="00681E65">
        <w:t xml:space="preserve"> </w:t>
      </w:r>
      <w:r w:rsidR="0019614F">
        <w:t xml:space="preserve">invece </w:t>
      </w:r>
      <w:r w:rsidR="0069345B">
        <w:t>i</w:t>
      </w:r>
      <w:r w:rsidR="00681E65">
        <w:t xml:space="preserve"> rimorchi (+7,7%), mentre </w:t>
      </w:r>
      <w:r w:rsidR="0069345B">
        <w:t xml:space="preserve">le trattrici con pianale di carico </w:t>
      </w:r>
      <w:r w:rsidR="00621E51">
        <w:t>si confermano</w:t>
      </w:r>
      <w:r w:rsidR="0069345B">
        <w:t xml:space="preserve"> sugli stessi valori dell’anno precedente. </w:t>
      </w:r>
    </w:p>
    <w:p w14:paraId="6AA6B48A" w14:textId="70C264FE" w:rsidR="00B847F6" w:rsidRDefault="007F17F6" w:rsidP="00DF35BB">
      <w:pPr>
        <w:ind w:left="2127"/>
        <w:jc w:val="both"/>
      </w:pPr>
      <w:r>
        <w:t>La robusta crescita del mercato</w:t>
      </w:r>
      <w:r w:rsidR="0069345B">
        <w:t xml:space="preserve"> delle trattrici</w:t>
      </w:r>
      <w:r>
        <w:t xml:space="preserve"> a livello nazionale e regionale </w:t>
      </w:r>
      <w:r w:rsidR="005112CA">
        <w:t>-</w:t>
      </w:r>
      <w:r w:rsidR="00F17F64">
        <w:t xml:space="preserve"> è stato spiegato nel corso della conferenza - </w:t>
      </w:r>
      <w:r>
        <w:t xml:space="preserve">è stata favorita da un sistema di agevolazioni pubbliche che ha nel credito d’imposta per il 4.0 il proprio asse portante. In questa prospettiva il 2022 presenta uno scenario </w:t>
      </w:r>
      <w:r w:rsidR="00CB2699">
        <w:t>potenzialmente</w:t>
      </w:r>
      <w:r>
        <w:t xml:space="preserve"> favorevole per la compresenza di molteplici strumenti di incentivazione (Nuova Sabatini, PNRR, bando ISI, 4.0, PSR). Non mancano tuttavia fattori di incertezza che, a partire dall’emergenza commodity e dalla crisi ucraina, potrebbero causare una brusca frenata per l’intero comparto</w:t>
      </w:r>
      <w:r w:rsidR="00EB6391">
        <w:t>.</w:t>
      </w:r>
    </w:p>
    <w:p w14:paraId="6CA963B9" w14:textId="77777777" w:rsidR="00EB6391" w:rsidRPr="00622326" w:rsidRDefault="00EB6391" w:rsidP="00DF35BB">
      <w:pPr>
        <w:ind w:left="2127"/>
        <w:jc w:val="both"/>
        <w:rPr>
          <w:b/>
          <w:sz w:val="25"/>
          <w:szCs w:val="25"/>
        </w:rPr>
      </w:pPr>
    </w:p>
    <w:p w14:paraId="0D0ED72D" w14:textId="4A28834A" w:rsidR="00A777B8" w:rsidRDefault="007F17F6" w:rsidP="00DF35BB">
      <w:pPr>
        <w:spacing w:after="160" w:line="259" w:lineRule="auto"/>
        <w:ind w:left="212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Bari</w:t>
      </w:r>
      <w:r w:rsidR="00776788" w:rsidRPr="00622326">
        <w:rPr>
          <w:b/>
          <w:sz w:val="25"/>
          <w:szCs w:val="25"/>
        </w:rPr>
        <w:t xml:space="preserve">, </w:t>
      </w:r>
      <w:r>
        <w:rPr>
          <w:b/>
          <w:sz w:val="25"/>
          <w:szCs w:val="25"/>
        </w:rPr>
        <w:t>10</w:t>
      </w:r>
      <w:r w:rsidR="00776788" w:rsidRPr="00622326">
        <w:rPr>
          <w:b/>
          <w:sz w:val="25"/>
          <w:szCs w:val="25"/>
        </w:rPr>
        <w:t xml:space="preserve"> </w:t>
      </w:r>
      <w:r w:rsidR="00E445E5">
        <w:rPr>
          <w:b/>
          <w:sz w:val="25"/>
          <w:szCs w:val="25"/>
        </w:rPr>
        <w:t>marzo</w:t>
      </w:r>
      <w:r w:rsidR="00776788" w:rsidRPr="00622326">
        <w:rPr>
          <w:b/>
          <w:sz w:val="25"/>
          <w:szCs w:val="25"/>
        </w:rPr>
        <w:t xml:space="preserve"> 202</w:t>
      </w:r>
      <w:r w:rsidR="0073178F">
        <w:rPr>
          <w:b/>
          <w:sz w:val="25"/>
          <w:szCs w:val="25"/>
        </w:rPr>
        <w:t>2</w:t>
      </w:r>
    </w:p>
    <w:p w14:paraId="3E3B0D33" w14:textId="7A7643A7" w:rsidR="00DF67ED" w:rsidRDefault="00DF67ED" w:rsidP="007F17F6">
      <w:pPr>
        <w:spacing w:after="160" w:line="259" w:lineRule="auto"/>
        <w:jc w:val="both"/>
        <w:rPr>
          <w:b/>
          <w:sz w:val="25"/>
          <w:szCs w:val="25"/>
        </w:rPr>
      </w:pPr>
    </w:p>
    <w:p w14:paraId="260E4D9D" w14:textId="76D0B057" w:rsidR="00DF67ED" w:rsidRDefault="00DF67ED" w:rsidP="0073178F">
      <w:pPr>
        <w:spacing w:after="160" w:line="259" w:lineRule="auto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</w:t>
      </w:r>
      <w:r>
        <w:rPr>
          <w:b/>
          <w:sz w:val="25"/>
          <w:szCs w:val="25"/>
        </w:rPr>
        <w:tab/>
        <w:t xml:space="preserve">    </w:t>
      </w:r>
      <w:hyperlink r:id="rId7" w:history="1"/>
      <w:r w:rsidR="00E445E5">
        <w:rPr>
          <w:rStyle w:val="Collegamentoipertestuale"/>
          <w:b/>
          <w:sz w:val="25"/>
          <w:szCs w:val="25"/>
        </w:rPr>
        <w:t xml:space="preserve"> </w:t>
      </w:r>
    </w:p>
    <w:p w14:paraId="68310AD9" w14:textId="3C7A1773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32E270D8" w14:textId="340FCEAF" w:rsidR="0025180B" w:rsidRDefault="0025180B" w:rsidP="0073178F">
      <w:pPr>
        <w:spacing w:after="160" w:line="259" w:lineRule="auto"/>
        <w:jc w:val="both"/>
        <w:rPr>
          <w:b/>
          <w:sz w:val="25"/>
          <w:szCs w:val="25"/>
        </w:rPr>
      </w:pPr>
    </w:p>
    <w:p w14:paraId="2EB4A79E" w14:textId="1BB22321" w:rsidR="0025180B" w:rsidRPr="00622326" w:rsidRDefault="00CF4D28" w:rsidP="00CF4D28">
      <w:pPr>
        <w:spacing w:after="160" w:line="259" w:lineRule="auto"/>
        <w:jc w:val="right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 wp14:anchorId="10A791CA" wp14:editId="31EE3294">
            <wp:extent cx="5454650" cy="324442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313" cy="32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80B" w:rsidRPr="00622326" w:rsidSect="002209C1">
      <w:headerReference w:type="default" r:id="rId9"/>
      <w:footerReference w:type="default" r:id="rId10"/>
      <w:pgSz w:w="11906" w:h="16838"/>
      <w:pgMar w:top="567" w:right="425" w:bottom="828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5505" w14:textId="77777777" w:rsidR="00A056A0" w:rsidRDefault="00A056A0">
      <w:r>
        <w:separator/>
      </w:r>
    </w:p>
  </w:endnote>
  <w:endnote w:type="continuationSeparator" w:id="0">
    <w:p w14:paraId="68E453DC" w14:textId="77777777" w:rsidR="00A056A0" w:rsidRDefault="00A0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2382" w14:textId="77777777" w:rsidR="00CB2699" w:rsidRDefault="00CB269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87D75" w:rsidRPr="00187D75">
      <w:rPr>
        <w:noProof/>
        <w:lang w:val="it-IT"/>
      </w:rPr>
      <w:t>1</w:t>
    </w:r>
    <w:r>
      <w:fldChar w:fldCharType="end"/>
    </w:r>
  </w:p>
  <w:p w14:paraId="56622012" w14:textId="77777777" w:rsidR="00CB2699" w:rsidRDefault="00CB2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DB75" w14:textId="77777777" w:rsidR="00A056A0" w:rsidRDefault="00A056A0">
      <w:r>
        <w:separator/>
      </w:r>
    </w:p>
  </w:footnote>
  <w:footnote w:type="continuationSeparator" w:id="0">
    <w:p w14:paraId="4C179612" w14:textId="77777777" w:rsidR="00A056A0" w:rsidRDefault="00A0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02FF2AE3" w:rsidR="00CB2699" w:rsidRDefault="00CB2699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6BA4A3AA">
          <wp:simplePos x="0" y="0"/>
          <wp:positionH relativeFrom="margin">
            <wp:posOffset>-821055</wp:posOffset>
          </wp:positionH>
          <wp:positionV relativeFrom="paragraph">
            <wp:posOffset>-447040</wp:posOffset>
          </wp:positionV>
          <wp:extent cx="7560310" cy="10676255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397"/>
    <w:rsid w:val="00003527"/>
    <w:rsid w:val="0003002D"/>
    <w:rsid w:val="00033748"/>
    <w:rsid w:val="000337C4"/>
    <w:rsid w:val="00033FCD"/>
    <w:rsid w:val="000409E0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5F3B"/>
    <w:rsid w:val="000C3C5A"/>
    <w:rsid w:val="000D1498"/>
    <w:rsid w:val="000D2A17"/>
    <w:rsid w:val="000D7055"/>
    <w:rsid w:val="000E2858"/>
    <w:rsid w:val="000E549D"/>
    <w:rsid w:val="000F7E1E"/>
    <w:rsid w:val="0010091E"/>
    <w:rsid w:val="00103ECE"/>
    <w:rsid w:val="00106416"/>
    <w:rsid w:val="00107CF1"/>
    <w:rsid w:val="0011547B"/>
    <w:rsid w:val="00126942"/>
    <w:rsid w:val="00142BC9"/>
    <w:rsid w:val="00146570"/>
    <w:rsid w:val="00152C3B"/>
    <w:rsid w:val="00160027"/>
    <w:rsid w:val="0016127A"/>
    <w:rsid w:val="00165309"/>
    <w:rsid w:val="001741B8"/>
    <w:rsid w:val="001819EF"/>
    <w:rsid w:val="00187D75"/>
    <w:rsid w:val="00191954"/>
    <w:rsid w:val="00192B06"/>
    <w:rsid w:val="00192F24"/>
    <w:rsid w:val="00196112"/>
    <w:rsid w:val="0019614F"/>
    <w:rsid w:val="001A3C20"/>
    <w:rsid w:val="001A4F39"/>
    <w:rsid w:val="001A717B"/>
    <w:rsid w:val="001B5FCF"/>
    <w:rsid w:val="001B627E"/>
    <w:rsid w:val="001C6652"/>
    <w:rsid w:val="001C76CC"/>
    <w:rsid w:val="001D56FF"/>
    <w:rsid w:val="001D7474"/>
    <w:rsid w:val="001E28EC"/>
    <w:rsid w:val="001E3929"/>
    <w:rsid w:val="001F0A16"/>
    <w:rsid w:val="001F43D1"/>
    <w:rsid w:val="002059E3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180B"/>
    <w:rsid w:val="00262E18"/>
    <w:rsid w:val="00270C14"/>
    <w:rsid w:val="002771D9"/>
    <w:rsid w:val="00280722"/>
    <w:rsid w:val="00283BB3"/>
    <w:rsid w:val="00285A33"/>
    <w:rsid w:val="00287E96"/>
    <w:rsid w:val="002902B6"/>
    <w:rsid w:val="00293124"/>
    <w:rsid w:val="00293440"/>
    <w:rsid w:val="00294EB9"/>
    <w:rsid w:val="0029566B"/>
    <w:rsid w:val="002A2BB3"/>
    <w:rsid w:val="002A4C4C"/>
    <w:rsid w:val="002A4FC7"/>
    <w:rsid w:val="002B04DE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F15BD"/>
    <w:rsid w:val="002F6567"/>
    <w:rsid w:val="002F7564"/>
    <w:rsid w:val="00302659"/>
    <w:rsid w:val="00302938"/>
    <w:rsid w:val="00306B7B"/>
    <w:rsid w:val="003129B7"/>
    <w:rsid w:val="003132BB"/>
    <w:rsid w:val="00315136"/>
    <w:rsid w:val="00325831"/>
    <w:rsid w:val="00332184"/>
    <w:rsid w:val="0034203E"/>
    <w:rsid w:val="0034514B"/>
    <w:rsid w:val="00350EC8"/>
    <w:rsid w:val="00350F15"/>
    <w:rsid w:val="00352C4E"/>
    <w:rsid w:val="003574DE"/>
    <w:rsid w:val="003616E4"/>
    <w:rsid w:val="0036535D"/>
    <w:rsid w:val="003731AE"/>
    <w:rsid w:val="0038005B"/>
    <w:rsid w:val="00385EA5"/>
    <w:rsid w:val="003927D9"/>
    <w:rsid w:val="00394D08"/>
    <w:rsid w:val="003A355A"/>
    <w:rsid w:val="003A60AB"/>
    <w:rsid w:val="003A6565"/>
    <w:rsid w:val="003A7060"/>
    <w:rsid w:val="003B27E5"/>
    <w:rsid w:val="003B58CA"/>
    <w:rsid w:val="003C5D12"/>
    <w:rsid w:val="003D78B8"/>
    <w:rsid w:val="003E24F0"/>
    <w:rsid w:val="003E3957"/>
    <w:rsid w:val="003E7B1C"/>
    <w:rsid w:val="003E7F01"/>
    <w:rsid w:val="003F1320"/>
    <w:rsid w:val="00403861"/>
    <w:rsid w:val="00405D9F"/>
    <w:rsid w:val="004145F6"/>
    <w:rsid w:val="00421382"/>
    <w:rsid w:val="00427165"/>
    <w:rsid w:val="004326CA"/>
    <w:rsid w:val="00435016"/>
    <w:rsid w:val="0044243A"/>
    <w:rsid w:val="0044504B"/>
    <w:rsid w:val="00467F53"/>
    <w:rsid w:val="004700BF"/>
    <w:rsid w:val="00483120"/>
    <w:rsid w:val="004A2A74"/>
    <w:rsid w:val="004A719C"/>
    <w:rsid w:val="004A75D3"/>
    <w:rsid w:val="004B2ECD"/>
    <w:rsid w:val="004B70D5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E768B"/>
    <w:rsid w:val="004F1495"/>
    <w:rsid w:val="004F7FC5"/>
    <w:rsid w:val="00503762"/>
    <w:rsid w:val="00503957"/>
    <w:rsid w:val="00503E18"/>
    <w:rsid w:val="0050405E"/>
    <w:rsid w:val="005041A8"/>
    <w:rsid w:val="00506FD4"/>
    <w:rsid w:val="005112CA"/>
    <w:rsid w:val="00512503"/>
    <w:rsid w:val="00512794"/>
    <w:rsid w:val="00513993"/>
    <w:rsid w:val="00520E15"/>
    <w:rsid w:val="00535932"/>
    <w:rsid w:val="00545C25"/>
    <w:rsid w:val="0055534A"/>
    <w:rsid w:val="005561A8"/>
    <w:rsid w:val="00570188"/>
    <w:rsid w:val="00574E0A"/>
    <w:rsid w:val="00575C13"/>
    <w:rsid w:val="005822E6"/>
    <w:rsid w:val="00590B77"/>
    <w:rsid w:val="0059473E"/>
    <w:rsid w:val="00597476"/>
    <w:rsid w:val="00597963"/>
    <w:rsid w:val="005A0DF0"/>
    <w:rsid w:val="005A35FB"/>
    <w:rsid w:val="005A45F4"/>
    <w:rsid w:val="005A6777"/>
    <w:rsid w:val="005A698F"/>
    <w:rsid w:val="005A7C1A"/>
    <w:rsid w:val="005B29EB"/>
    <w:rsid w:val="005B61E7"/>
    <w:rsid w:val="005D10F9"/>
    <w:rsid w:val="005E01EA"/>
    <w:rsid w:val="005E0643"/>
    <w:rsid w:val="005E1D73"/>
    <w:rsid w:val="005E6B98"/>
    <w:rsid w:val="005E70AE"/>
    <w:rsid w:val="0060320E"/>
    <w:rsid w:val="0061653E"/>
    <w:rsid w:val="00621E51"/>
    <w:rsid w:val="00622326"/>
    <w:rsid w:val="006433C9"/>
    <w:rsid w:val="006501EB"/>
    <w:rsid w:val="0065073A"/>
    <w:rsid w:val="00674484"/>
    <w:rsid w:val="006747CD"/>
    <w:rsid w:val="006764A2"/>
    <w:rsid w:val="00676CAD"/>
    <w:rsid w:val="00681E65"/>
    <w:rsid w:val="00687E3E"/>
    <w:rsid w:val="0069345B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245F"/>
    <w:rsid w:val="006E26DB"/>
    <w:rsid w:val="006E4921"/>
    <w:rsid w:val="006F4F6B"/>
    <w:rsid w:val="007002EB"/>
    <w:rsid w:val="00710B29"/>
    <w:rsid w:val="00711CB1"/>
    <w:rsid w:val="0072285A"/>
    <w:rsid w:val="00723741"/>
    <w:rsid w:val="0073178F"/>
    <w:rsid w:val="007322C7"/>
    <w:rsid w:val="007324E8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4DC5"/>
    <w:rsid w:val="007B1034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17F6"/>
    <w:rsid w:val="007F3412"/>
    <w:rsid w:val="007F4106"/>
    <w:rsid w:val="007F4788"/>
    <w:rsid w:val="007F66C0"/>
    <w:rsid w:val="007F7E77"/>
    <w:rsid w:val="0080230D"/>
    <w:rsid w:val="00806D57"/>
    <w:rsid w:val="00810477"/>
    <w:rsid w:val="008114E7"/>
    <w:rsid w:val="00813952"/>
    <w:rsid w:val="0081459C"/>
    <w:rsid w:val="008249FA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1C94"/>
    <w:rsid w:val="008A31D5"/>
    <w:rsid w:val="008A3BBD"/>
    <w:rsid w:val="008B2189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F484F"/>
    <w:rsid w:val="008F7A40"/>
    <w:rsid w:val="0091365F"/>
    <w:rsid w:val="00917CEA"/>
    <w:rsid w:val="00920916"/>
    <w:rsid w:val="00926473"/>
    <w:rsid w:val="00932A48"/>
    <w:rsid w:val="00936493"/>
    <w:rsid w:val="009368D1"/>
    <w:rsid w:val="00937B22"/>
    <w:rsid w:val="00942562"/>
    <w:rsid w:val="00956486"/>
    <w:rsid w:val="0095767D"/>
    <w:rsid w:val="00957C2C"/>
    <w:rsid w:val="00960B85"/>
    <w:rsid w:val="00970684"/>
    <w:rsid w:val="00973406"/>
    <w:rsid w:val="0098061F"/>
    <w:rsid w:val="00981BB7"/>
    <w:rsid w:val="00981E0B"/>
    <w:rsid w:val="00984AB7"/>
    <w:rsid w:val="009860D3"/>
    <w:rsid w:val="00994FA6"/>
    <w:rsid w:val="009A32DF"/>
    <w:rsid w:val="009A545B"/>
    <w:rsid w:val="009A7E3D"/>
    <w:rsid w:val="009B330D"/>
    <w:rsid w:val="009B41F5"/>
    <w:rsid w:val="009C68DD"/>
    <w:rsid w:val="009D0BD7"/>
    <w:rsid w:val="009E2525"/>
    <w:rsid w:val="009E53D9"/>
    <w:rsid w:val="009F4971"/>
    <w:rsid w:val="009F593B"/>
    <w:rsid w:val="009F7044"/>
    <w:rsid w:val="00A056A0"/>
    <w:rsid w:val="00A161AC"/>
    <w:rsid w:val="00A202B3"/>
    <w:rsid w:val="00A313A1"/>
    <w:rsid w:val="00A407EF"/>
    <w:rsid w:val="00A40DA4"/>
    <w:rsid w:val="00A42C9A"/>
    <w:rsid w:val="00A551A0"/>
    <w:rsid w:val="00A6591D"/>
    <w:rsid w:val="00A65E22"/>
    <w:rsid w:val="00A777B8"/>
    <w:rsid w:val="00A854A8"/>
    <w:rsid w:val="00A934F9"/>
    <w:rsid w:val="00A937DD"/>
    <w:rsid w:val="00A94A30"/>
    <w:rsid w:val="00AA7D80"/>
    <w:rsid w:val="00AB6D33"/>
    <w:rsid w:val="00AC54EA"/>
    <w:rsid w:val="00AD157D"/>
    <w:rsid w:val="00AE2B91"/>
    <w:rsid w:val="00AE7084"/>
    <w:rsid w:val="00AE70BD"/>
    <w:rsid w:val="00AF0D42"/>
    <w:rsid w:val="00AF1272"/>
    <w:rsid w:val="00AF34ED"/>
    <w:rsid w:val="00AF369E"/>
    <w:rsid w:val="00AF6326"/>
    <w:rsid w:val="00AF7B16"/>
    <w:rsid w:val="00B030F7"/>
    <w:rsid w:val="00B154BA"/>
    <w:rsid w:val="00B20DAA"/>
    <w:rsid w:val="00B22182"/>
    <w:rsid w:val="00B22E7C"/>
    <w:rsid w:val="00B23C35"/>
    <w:rsid w:val="00B23FB1"/>
    <w:rsid w:val="00B243E8"/>
    <w:rsid w:val="00B41AAB"/>
    <w:rsid w:val="00B424FB"/>
    <w:rsid w:val="00B468B8"/>
    <w:rsid w:val="00B501C7"/>
    <w:rsid w:val="00B60F34"/>
    <w:rsid w:val="00B64A0D"/>
    <w:rsid w:val="00B70E08"/>
    <w:rsid w:val="00B70FA3"/>
    <w:rsid w:val="00B82A27"/>
    <w:rsid w:val="00B847F6"/>
    <w:rsid w:val="00B85AED"/>
    <w:rsid w:val="00B902BC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2F57"/>
    <w:rsid w:val="00BD48AE"/>
    <w:rsid w:val="00BE603F"/>
    <w:rsid w:val="00BF53A1"/>
    <w:rsid w:val="00C004D2"/>
    <w:rsid w:val="00C0369A"/>
    <w:rsid w:val="00C1036E"/>
    <w:rsid w:val="00C13C01"/>
    <w:rsid w:val="00C20B1E"/>
    <w:rsid w:val="00C23B56"/>
    <w:rsid w:val="00C40853"/>
    <w:rsid w:val="00C41089"/>
    <w:rsid w:val="00C50A6B"/>
    <w:rsid w:val="00C5197E"/>
    <w:rsid w:val="00C51D1E"/>
    <w:rsid w:val="00C6007C"/>
    <w:rsid w:val="00C604D1"/>
    <w:rsid w:val="00C6464C"/>
    <w:rsid w:val="00C8234E"/>
    <w:rsid w:val="00C9176A"/>
    <w:rsid w:val="00C94717"/>
    <w:rsid w:val="00C97E64"/>
    <w:rsid w:val="00CA085B"/>
    <w:rsid w:val="00CA0A04"/>
    <w:rsid w:val="00CA2ACB"/>
    <w:rsid w:val="00CA5D56"/>
    <w:rsid w:val="00CA67C3"/>
    <w:rsid w:val="00CB2699"/>
    <w:rsid w:val="00CB314D"/>
    <w:rsid w:val="00CB5493"/>
    <w:rsid w:val="00CB65B9"/>
    <w:rsid w:val="00CC509D"/>
    <w:rsid w:val="00CC6482"/>
    <w:rsid w:val="00CC7204"/>
    <w:rsid w:val="00CD3729"/>
    <w:rsid w:val="00CD59B5"/>
    <w:rsid w:val="00CD79CD"/>
    <w:rsid w:val="00CE2013"/>
    <w:rsid w:val="00CF240F"/>
    <w:rsid w:val="00CF4D28"/>
    <w:rsid w:val="00CF5D45"/>
    <w:rsid w:val="00CF6C14"/>
    <w:rsid w:val="00D01C4C"/>
    <w:rsid w:val="00D039B5"/>
    <w:rsid w:val="00D04823"/>
    <w:rsid w:val="00D20092"/>
    <w:rsid w:val="00D20A08"/>
    <w:rsid w:val="00D224D0"/>
    <w:rsid w:val="00D3218C"/>
    <w:rsid w:val="00D34EFC"/>
    <w:rsid w:val="00D46443"/>
    <w:rsid w:val="00D560BC"/>
    <w:rsid w:val="00D60E82"/>
    <w:rsid w:val="00D67811"/>
    <w:rsid w:val="00D7462D"/>
    <w:rsid w:val="00D75701"/>
    <w:rsid w:val="00D9109D"/>
    <w:rsid w:val="00D93505"/>
    <w:rsid w:val="00DB1C0C"/>
    <w:rsid w:val="00DB75A6"/>
    <w:rsid w:val="00DC5277"/>
    <w:rsid w:val="00DD15BF"/>
    <w:rsid w:val="00DE13D5"/>
    <w:rsid w:val="00DE1B3C"/>
    <w:rsid w:val="00DE50D3"/>
    <w:rsid w:val="00DE7059"/>
    <w:rsid w:val="00DE72CA"/>
    <w:rsid w:val="00DE7FB8"/>
    <w:rsid w:val="00DF0B6A"/>
    <w:rsid w:val="00DF35BB"/>
    <w:rsid w:val="00DF67ED"/>
    <w:rsid w:val="00E017C2"/>
    <w:rsid w:val="00E050F4"/>
    <w:rsid w:val="00E05517"/>
    <w:rsid w:val="00E214CF"/>
    <w:rsid w:val="00E271E8"/>
    <w:rsid w:val="00E30809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372F"/>
    <w:rsid w:val="00EB4A00"/>
    <w:rsid w:val="00EB61BD"/>
    <w:rsid w:val="00EB6391"/>
    <w:rsid w:val="00EC4E8F"/>
    <w:rsid w:val="00EC6341"/>
    <w:rsid w:val="00ED17E0"/>
    <w:rsid w:val="00EE296E"/>
    <w:rsid w:val="00EE32AF"/>
    <w:rsid w:val="00EF3962"/>
    <w:rsid w:val="00EF7F2F"/>
    <w:rsid w:val="00F023B0"/>
    <w:rsid w:val="00F025FF"/>
    <w:rsid w:val="00F125FD"/>
    <w:rsid w:val="00F15C89"/>
    <w:rsid w:val="00F1614D"/>
    <w:rsid w:val="00F16B69"/>
    <w:rsid w:val="00F16D73"/>
    <w:rsid w:val="00F17F64"/>
    <w:rsid w:val="00F219D7"/>
    <w:rsid w:val="00F24B6E"/>
    <w:rsid w:val="00F32C90"/>
    <w:rsid w:val="00F36BB6"/>
    <w:rsid w:val="00F4201A"/>
    <w:rsid w:val="00F43BE4"/>
    <w:rsid w:val="00F47F00"/>
    <w:rsid w:val="00F54585"/>
    <w:rsid w:val="00F56B01"/>
    <w:rsid w:val="00F63B35"/>
    <w:rsid w:val="00F90889"/>
    <w:rsid w:val="00FA4C9D"/>
    <w:rsid w:val="00FB1763"/>
    <w:rsid w:val="00FB2A84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docId w15:val="{BDBAF982-FD22-4068-9646-3FBBB23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ederunacoma.wetransfer.com/downloads/dac638e37ae05bec6841b8c71715347020220112131208/a088eb07fd8d6b89c98a4566009b12eb20220112131208/d82f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Patrizia Menicucci</cp:lastModifiedBy>
  <cp:revision>3</cp:revision>
  <cp:lastPrinted>2019-04-02T08:55:00Z</cp:lastPrinted>
  <dcterms:created xsi:type="dcterms:W3CDTF">2022-03-10T05:37:00Z</dcterms:created>
  <dcterms:modified xsi:type="dcterms:W3CDTF">2022-03-10T05:39:00Z</dcterms:modified>
</cp:coreProperties>
</file>