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6456" w14:textId="77777777" w:rsidR="00C3312D" w:rsidRDefault="00000000">
      <w:pPr>
        <w:ind w:left="2127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Press release</w:t>
      </w:r>
    </w:p>
    <w:p w14:paraId="1CECF117" w14:textId="77777777" w:rsidR="00C62CC9" w:rsidRPr="00B3447A" w:rsidRDefault="00C62CC9" w:rsidP="006379A3">
      <w:pPr>
        <w:ind w:left="2127"/>
        <w:jc w:val="both"/>
        <w:rPr>
          <w:i/>
          <w:sz w:val="10"/>
          <w:szCs w:val="10"/>
        </w:rPr>
      </w:pPr>
    </w:p>
    <w:p w14:paraId="48E9BB86" w14:textId="77777777" w:rsidR="00FD0CE9" w:rsidRPr="00FD0CE9" w:rsidRDefault="00FD0CE9" w:rsidP="00FD0CE9">
      <w:pPr>
        <w:jc w:val="both"/>
        <w:rPr>
          <w:b/>
          <w:bCs/>
          <w:lang w:eastAsia="en-US"/>
        </w:rPr>
      </w:pPr>
    </w:p>
    <w:p w14:paraId="49CBEF0D" w14:textId="77777777" w:rsidR="00C3312D" w:rsidRDefault="00000000">
      <w:pPr>
        <w:ind w:left="2127" w:right="424"/>
        <w:jc w:val="both"/>
        <w:rPr>
          <w:b/>
          <w:bCs/>
          <w:sz w:val="28"/>
          <w:szCs w:val="28"/>
          <w:lang w:eastAsia="en-US"/>
        </w:rPr>
      </w:pPr>
      <w:proofErr w:type="spellStart"/>
      <w:r w:rsidRPr="00FD0CE9">
        <w:rPr>
          <w:b/>
          <w:bCs/>
          <w:sz w:val="28"/>
          <w:szCs w:val="28"/>
          <w:lang w:eastAsia="en-US"/>
        </w:rPr>
        <w:t>Agricultural</w:t>
      </w:r>
      <w:proofErr w:type="spellEnd"/>
      <w:r w:rsidRPr="00FD0CE9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FD0CE9">
        <w:rPr>
          <w:b/>
          <w:bCs/>
          <w:sz w:val="28"/>
          <w:szCs w:val="28"/>
          <w:lang w:eastAsia="en-US"/>
        </w:rPr>
        <w:t>machinery</w:t>
      </w:r>
      <w:proofErr w:type="spellEnd"/>
      <w:r w:rsidRPr="00FD0CE9">
        <w:rPr>
          <w:b/>
          <w:bCs/>
          <w:sz w:val="28"/>
          <w:szCs w:val="28"/>
          <w:lang w:eastAsia="en-US"/>
        </w:rPr>
        <w:t xml:space="preserve">, first </w:t>
      </w:r>
      <w:proofErr w:type="spellStart"/>
      <w:r w:rsidRPr="00FD0CE9">
        <w:rPr>
          <w:b/>
          <w:bCs/>
          <w:sz w:val="28"/>
          <w:szCs w:val="28"/>
          <w:lang w:eastAsia="en-US"/>
        </w:rPr>
        <w:t>half-year</w:t>
      </w:r>
      <w:proofErr w:type="spellEnd"/>
      <w:r w:rsidRPr="00FD0CE9">
        <w:rPr>
          <w:b/>
          <w:bCs/>
          <w:sz w:val="28"/>
          <w:szCs w:val="28"/>
          <w:lang w:eastAsia="en-US"/>
        </w:rPr>
        <w:t xml:space="preserve"> down </w:t>
      </w:r>
      <w:proofErr w:type="spellStart"/>
      <w:r w:rsidRPr="00FD0CE9">
        <w:rPr>
          <w:b/>
          <w:bCs/>
          <w:sz w:val="28"/>
          <w:szCs w:val="28"/>
          <w:lang w:eastAsia="en-US"/>
        </w:rPr>
        <w:t>but</w:t>
      </w:r>
      <w:proofErr w:type="spellEnd"/>
      <w:r w:rsidRPr="00FD0CE9">
        <w:rPr>
          <w:b/>
          <w:bCs/>
          <w:sz w:val="28"/>
          <w:szCs w:val="28"/>
          <w:lang w:eastAsia="en-US"/>
        </w:rPr>
        <w:t xml:space="preserve"> the </w:t>
      </w:r>
      <w:proofErr w:type="spellStart"/>
      <w:r w:rsidRPr="00FD0CE9">
        <w:rPr>
          <w:b/>
          <w:bCs/>
          <w:sz w:val="28"/>
          <w:szCs w:val="28"/>
          <w:lang w:eastAsia="en-US"/>
        </w:rPr>
        <w:t>sector</w:t>
      </w:r>
      <w:proofErr w:type="spellEnd"/>
      <w:r w:rsidRPr="00FD0CE9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FD0CE9">
        <w:rPr>
          <w:b/>
          <w:bCs/>
          <w:sz w:val="28"/>
          <w:szCs w:val="28"/>
          <w:lang w:eastAsia="en-US"/>
        </w:rPr>
        <w:t>is</w:t>
      </w:r>
      <w:proofErr w:type="spellEnd"/>
      <w:r w:rsidRPr="00FD0CE9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FD0CE9">
        <w:rPr>
          <w:b/>
          <w:bCs/>
          <w:sz w:val="28"/>
          <w:szCs w:val="28"/>
          <w:lang w:eastAsia="en-US"/>
        </w:rPr>
        <w:t>healthy</w:t>
      </w:r>
      <w:proofErr w:type="spellEnd"/>
    </w:p>
    <w:p w14:paraId="2F9EAABA" w14:textId="77777777" w:rsidR="00FD0CE9" w:rsidRPr="00FD0CE9" w:rsidRDefault="00FD0CE9" w:rsidP="00FD0CE9">
      <w:pPr>
        <w:ind w:left="2127" w:right="424"/>
        <w:jc w:val="both"/>
        <w:rPr>
          <w:b/>
          <w:bCs/>
          <w:lang w:eastAsia="en-US"/>
        </w:rPr>
      </w:pPr>
    </w:p>
    <w:p w14:paraId="750875B6" w14:textId="0EBA760A" w:rsidR="00C3312D" w:rsidRDefault="00000000">
      <w:pPr>
        <w:ind w:left="2127" w:right="424"/>
        <w:jc w:val="both"/>
        <w:rPr>
          <w:b/>
          <w:bCs/>
          <w:i/>
          <w:iCs/>
          <w:lang w:eastAsia="en-US"/>
        </w:rPr>
      </w:pPr>
      <w:proofErr w:type="spellStart"/>
      <w:r w:rsidRPr="00FD0CE9">
        <w:rPr>
          <w:b/>
          <w:bCs/>
          <w:i/>
          <w:iCs/>
          <w:lang w:eastAsia="en-US"/>
        </w:rPr>
        <w:t>Between</w:t>
      </w:r>
      <w:proofErr w:type="spellEnd"/>
      <w:r w:rsidRPr="00FD0CE9">
        <w:rPr>
          <w:b/>
          <w:bCs/>
          <w:i/>
          <w:iCs/>
          <w:lang w:eastAsia="en-US"/>
        </w:rPr>
        <w:t xml:space="preserve"> </w:t>
      </w:r>
      <w:proofErr w:type="spellStart"/>
      <w:r w:rsidRPr="00FD0CE9">
        <w:rPr>
          <w:b/>
          <w:bCs/>
          <w:i/>
          <w:iCs/>
          <w:lang w:eastAsia="en-US"/>
        </w:rPr>
        <w:t>January</w:t>
      </w:r>
      <w:proofErr w:type="spellEnd"/>
      <w:r w:rsidRPr="00FD0CE9">
        <w:rPr>
          <w:b/>
          <w:bCs/>
          <w:i/>
          <w:iCs/>
          <w:lang w:eastAsia="en-US"/>
        </w:rPr>
        <w:t xml:space="preserve"> and June, the </w:t>
      </w:r>
      <w:proofErr w:type="spellStart"/>
      <w:r w:rsidRPr="00FD0CE9">
        <w:rPr>
          <w:b/>
          <w:bCs/>
          <w:i/>
          <w:iCs/>
          <w:lang w:eastAsia="en-US"/>
        </w:rPr>
        <w:t>agricultural</w:t>
      </w:r>
      <w:proofErr w:type="spellEnd"/>
      <w:r w:rsidRPr="00FD0CE9">
        <w:rPr>
          <w:b/>
          <w:bCs/>
          <w:i/>
          <w:iCs/>
          <w:lang w:eastAsia="en-US"/>
        </w:rPr>
        <w:t xml:space="preserve"> </w:t>
      </w:r>
      <w:proofErr w:type="spellStart"/>
      <w:r w:rsidRPr="00FD0CE9">
        <w:rPr>
          <w:b/>
          <w:bCs/>
          <w:i/>
          <w:iCs/>
          <w:lang w:eastAsia="en-US"/>
        </w:rPr>
        <w:t>machinery</w:t>
      </w:r>
      <w:proofErr w:type="spellEnd"/>
      <w:r w:rsidRPr="00FD0CE9">
        <w:rPr>
          <w:b/>
          <w:bCs/>
          <w:i/>
          <w:iCs/>
          <w:lang w:eastAsia="en-US"/>
        </w:rPr>
        <w:t xml:space="preserve"> market </w:t>
      </w:r>
      <w:proofErr w:type="spellStart"/>
      <w:r w:rsidRPr="00FD0CE9">
        <w:rPr>
          <w:b/>
          <w:bCs/>
          <w:i/>
          <w:iCs/>
          <w:lang w:eastAsia="en-US"/>
        </w:rPr>
        <w:t>recorded</w:t>
      </w:r>
      <w:proofErr w:type="spellEnd"/>
      <w:r w:rsidRPr="00FD0CE9">
        <w:rPr>
          <w:b/>
          <w:bCs/>
          <w:i/>
          <w:iCs/>
          <w:lang w:eastAsia="en-US"/>
        </w:rPr>
        <w:t xml:space="preserve"> a </w:t>
      </w:r>
      <w:proofErr w:type="spellStart"/>
      <w:r w:rsidRPr="00FD0CE9">
        <w:rPr>
          <w:b/>
          <w:bCs/>
          <w:i/>
          <w:iCs/>
          <w:lang w:eastAsia="en-US"/>
        </w:rPr>
        <w:t>downturn</w:t>
      </w:r>
      <w:proofErr w:type="spellEnd"/>
      <w:r w:rsidRPr="00FD0CE9">
        <w:rPr>
          <w:b/>
          <w:bCs/>
          <w:i/>
          <w:iCs/>
          <w:lang w:eastAsia="en-US"/>
        </w:rPr>
        <w:t xml:space="preserve"> for </w:t>
      </w:r>
      <w:proofErr w:type="spellStart"/>
      <w:r w:rsidRPr="00FD0CE9">
        <w:rPr>
          <w:b/>
          <w:bCs/>
          <w:i/>
          <w:iCs/>
          <w:lang w:eastAsia="en-US"/>
        </w:rPr>
        <w:t>all</w:t>
      </w:r>
      <w:proofErr w:type="spellEnd"/>
      <w:r w:rsidRPr="00FD0CE9">
        <w:rPr>
          <w:b/>
          <w:bCs/>
          <w:i/>
          <w:iCs/>
          <w:lang w:eastAsia="en-US"/>
        </w:rPr>
        <w:t xml:space="preserve"> the </w:t>
      </w:r>
      <w:proofErr w:type="spellStart"/>
      <w:r w:rsidRPr="00FD0CE9">
        <w:rPr>
          <w:b/>
          <w:bCs/>
          <w:i/>
          <w:iCs/>
          <w:lang w:eastAsia="en-US"/>
        </w:rPr>
        <w:t>main</w:t>
      </w:r>
      <w:proofErr w:type="spellEnd"/>
      <w:r w:rsidRPr="00FD0CE9">
        <w:rPr>
          <w:b/>
          <w:bCs/>
          <w:i/>
          <w:iCs/>
          <w:lang w:eastAsia="en-US"/>
        </w:rPr>
        <w:t xml:space="preserve"> </w:t>
      </w:r>
      <w:proofErr w:type="spellStart"/>
      <w:r w:rsidRPr="00FD0CE9">
        <w:rPr>
          <w:b/>
          <w:bCs/>
          <w:i/>
          <w:iCs/>
          <w:lang w:eastAsia="en-US"/>
        </w:rPr>
        <w:t>types</w:t>
      </w:r>
      <w:proofErr w:type="spellEnd"/>
      <w:r w:rsidRPr="00FD0CE9">
        <w:rPr>
          <w:b/>
          <w:bCs/>
          <w:i/>
          <w:iCs/>
          <w:lang w:eastAsia="en-US"/>
        </w:rPr>
        <w:t xml:space="preserve"> of </w:t>
      </w:r>
      <w:proofErr w:type="spellStart"/>
      <w:r w:rsidRPr="00FD0CE9">
        <w:rPr>
          <w:b/>
          <w:bCs/>
          <w:i/>
          <w:iCs/>
          <w:lang w:eastAsia="en-US"/>
        </w:rPr>
        <w:t>machinery</w:t>
      </w:r>
      <w:proofErr w:type="spellEnd"/>
      <w:r w:rsidRPr="00FD0CE9">
        <w:rPr>
          <w:b/>
          <w:bCs/>
          <w:i/>
          <w:iCs/>
          <w:lang w:eastAsia="en-US"/>
        </w:rPr>
        <w:t xml:space="preserve">, </w:t>
      </w:r>
      <w:proofErr w:type="spellStart"/>
      <w:r w:rsidRPr="00FD0CE9">
        <w:rPr>
          <w:b/>
          <w:bCs/>
          <w:i/>
          <w:iCs/>
          <w:lang w:eastAsia="en-US"/>
        </w:rPr>
        <w:t>but</w:t>
      </w:r>
      <w:proofErr w:type="spellEnd"/>
      <w:r w:rsidRPr="00FD0CE9">
        <w:rPr>
          <w:b/>
          <w:bCs/>
          <w:i/>
          <w:iCs/>
          <w:lang w:eastAsia="en-US"/>
        </w:rPr>
        <w:t xml:space="preserve"> </w:t>
      </w:r>
      <w:proofErr w:type="spellStart"/>
      <w:r w:rsidRPr="00FD0CE9">
        <w:rPr>
          <w:b/>
          <w:bCs/>
          <w:i/>
          <w:iCs/>
          <w:lang w:eastAsia="en-US"/>
        </w:rPr>
        <w:t>confirmed</w:t>
      </w:r>
      <w:proofErr w:type="spellEnd"/>
      <w:r w:rsidRPr="00FD0CE9">
        <w:rPr>
          <w:b/>
          <w:bCs/>
          <w:i/>
          <w:iCs/>
          <w:lang w:eastAsia="en-US"/>
        </w:rPr>
        <w:t xml:space="preserve"> sales </w:t>
      </w:r>
      <w:proofErr w:type="spellStart"/>
      <w:r w:rsidRPr="00FD0CE9">
        <w:rPr>
          <w:b/>
          <w:bCs/>
          <w:i/>
          <w:iCs/>
          <w:lang w:eastAsia="en-US"/>
        </w:rPr>
        <w:t>volumes</w:t>
      </w:r>
      <w:proofErr w:type="spellEnd"/>
      <w:r w:rsidRPr="00FD0CE9">
        <w:rPr>
          <w:b/>
          <w:bCs/>
          <w:i/>
          <w:iCs/>
          <w:lang w:eastAsia="en-US"/>
        </w:rPr>
        <w:t xml:space="preserve"> </w:t>
      </w:r>
      <w:proofErr w:type="spellStart"/>
      <w:r w:rsidRPr="00FD0CE9">
        <w:rPr>
          <w:b/>
          <w:bCs/>
          <w:i/>
          <w:iCs/>
          <w:lang w:eastAsia="en-US"/>
        </w:rPr>
        <w:t>above</w:t>
      </w:r>
      <w:proofErr w:type="spellEnd"/>
      <w:r w:rsidRPr="00FD0CE9">
        <w:rPr>
          <w:b/>
          <w:bCs/>
          <w:i/>
          <w:iCs/>
          <w:lang w:eastAsia="en-US"/>
        </w:rPr>
        <w:t xml:space="preserve"> the </w:t>
      </w:r>
      <w:proofErr w:type="spellStart"/>
      <w:r w:rsidRPr="00FD0CE9">
        <w:rPr>
          <w:b/>
          <w:bCs/>
          <w:i/>
          <w:iCs/>
          <w:lang w:eastAsia="en-US"/>
        </w:rPr>
        <w:t>average</w:t>
      </w:r>
      <w:proofErr w:type="spellEnd"/>
      <w:r w:rsidRPr="00FD0CE9">
        <w:rPr>
          <w:b/>
          <w:bCs/>
          <w:i/>
          <w:iCs/>
          <w:lang w:eastAsia="en-US"/>
        </w:rPr>
        <w:t xml:space="preserve"> of the last </w:t>
      </w:r>
      <w:proofErr w:type="spellStart"/>
      <w:r w:rsidRPr="00FD0CE9">
        <w:rPr>
          <w:b/>
          <w:bCs/>
          <w:i/>
          <w:iCs/>
          <w:lang w:eastAsia="en-US"/>
        </w:rPr>
        <w:t>four</w:t>
      </w:r>
      <w:proofErr w:type="spellEnd"/>
      <w:r w:rsidRPr="00FD0CE9">
        <w:rPr>
          <w:b/>
          <w:bCs/>
          <w:i/>
          <w:iCs/>
          <w:lang w:eastAsia="en-US"/>
        </w:rPr>
        <w:t xml:space="preserve"> </w:t>
      </w:r>
      <w:proofErr w:type="spellStart"/>
      <w:r w:rsidRPr="00FD0CE9">
        <w:rPr>
          <w:b/>
          <w:bCs/>
          <w:i/>
          <w:iCs/>
          <w:lang w:eastAsia="en-US"/>
        </w:rPr>
        <w:t>years</w:t>
      </w:r>
      <w:proofErr w:type="spellEnd"/>
      <w:r w:rsidRPr="00FD0CE9">
        <w:rPr>
          <w:b/>
          <w:bCs/>
          <w:i/>
          <w:iCs/>
          <w:lang w:eastAsia="en-US"/>
        </w:rPr>
        <w:t xml:space="preserve">. </w:t>
      </w:r>
      <w:proofErr w:type="spellStart"/>
      <w:r w:rsidRPr="00FD0CE9">
        <w:rPr>
          <w:b/>
          <w:bCs/>
          <w:i/>
          <w:iCs/>
          <w:lang w:eastAsia="en-US"/>
        </w:rPr>
        <w:t>FederUnacoma</w:t>
      </w:r>
      <w:proofErr w:type="spellEnd"/>
      <w:r w:rsidRPr="00FD0CE9">
        <w:rPr>
          <w:b/>
          <w:bCs/>
          <w:i/>
          <w:iCs/>
          <w:lang w:eastAsia="en-US"/>
        </w:rPr>
        <w:t xml:space="preserve">: </w:t>
      </w:r>
      <w:proofErr w:type="spellStart"/>
      <w:r w:rsidRPr="00FD0CE9">
        <w:rPr>
          <w:b/>
          <w:bCs/>
          <w:i/>
          <w:iCs/>
          <w:lang w:eastAsia="en-US"/>
        </w:rPr>
        <w:t>lively</w:t>
      </w:r>
      <w:proofErr w:type="spellEnd"/>
      <w:r w:rsidRPr="00FD0CE9">
        <w:rPr>
          <w:b/>
          <w:bCs/>
          <w:i/>
          <w:iCs/>
          <w:lang w:eastAsia="en-US"/>
        </w:rPr>
        <w:t xml:space="preserve"> demand, </w:t>
      </w:r>
      <w:proofErr w:type="spellStart"/>
      <w:r w:rsidRPr="00FD0CE9">
        <w:rPr>
          <w:b/>
          <w:bCs/>
          <w:i/>
          <w:iCs/>
          <w:lang w:eastAsia="en-US"/>
        </w:rPr>
        <w:t>decline</w:t>
      </w:r>
      <w:proofErr w:type="spellEnd"/>
      <w:r w:rsidRPr="00FD0CE9">
        <w:rPr>
          <w:b/>
          <w:bCs/>
          <w:i/>
          <w:iCs/>
          <w:lang w:eastAsia="en-US"/>
        </w:rPr>
        <w:t xml:space="preserve"> due to </w:t>
      </w:r>
      <w:proofErr w:type="spellStart"/>
      <w:r w:rsidRPr="00FD0CE9">
        <w:rPr>
          <w:b/>
          <w:bCs/>
          <w:i/>
          <w:iCs/>
          <w:lang w:eastAsia="en-US"/>
        </w:rPr>
        <w:t>problems</w:t>
      </w:r>
      <w:proofErr w:type="spellEnd"/>
      <w:r w:rsidRPr="00FD0CE9">
        <w:rPr>
          <w:b/>
          <w:bCs/>
          <w:i/>
          <w:iCs/>
          <w:lang w:eastAsia="en-US"/>
        </w:rPr>
        <w:t xml:space="preserve"> in the supply chain. </w:t>
      </w:r>
      <w:proofErr w:type="spellStart"/>
      <w:r w:rsidRPr="00FD0CE9">
        <w:rPr>
          <w:b/>
          <w:bCs/>
          <w:i/>
          <w:iCs/>
          <w:lang w:eastAsia="en-US"/>
        </w:rPr>
        <w:t>Variables</w:t>
      </w:r>
      <w:proofErr w:type="spellEnd"/>
      <w:r w:rsidRPr="00FD0CE9">
        <w:rPr>
          <w:b/>
          <w:bCs/>
          <w:i/>
          <w:iCs/>
          <w:lang w:eastAsia="en-US"/>
        </w:rPr>
        <w:t xml:space="preserve"> </w:t>
      </w:r>
      <w:proofErr w:type="spellStart"/>
      <w:r w:rsidRPr="00FD0CE9">
        <w:rPr>
          <w:b/>
          <w:bCs/>
          <w:i/>
          <w:iCs/>
          <w:lang w:eastAsia="en-US"/>
        </w:rPr>
        <w:t>relating</w:t>
      </w:r>
      <w:proofErr w:type="spellEnd"/>
      <w:r w:rsidRPr="00FD0CE9">
        <w:rPr>
          <w:b/>
          <w:bCs/>
          <w:i/>
          <w:iCs/>
          <w:lang w:eastAsia="en-US"/>
        </w:rPr>
        <w:t xml:space="preserve"> to </w:t>
      </w:r>
      <w:proofErr w:type="spellStart"/>
      <w:r w:rsidRPr="00FD0CE9">
        <w:rPr>
          <w:b/>
          <w:bCs/>
          <w:i/>
          <w:iCs/>
          <w:lang w:eastAsia="en-US"/>
        </w:rPr>
        <w:t>raw</w:t>
      </w:r>
      <w:proofErr w:type="spellEnd"/>
      <w:r w:rsidRPr="00FD0CE9">
        <w:rPr>
          <w:b/>
          <w:bCs/>
          <w:i/>
          <w:iCs/>
          <w:lang w:eastAsia="en-US"/>
        </w:rPr>
        <w:t xml:space="preserve"> </w:t>
      </w:r>
      <w:proofErr w:type="spellStart"/>
      <w:r w:rsidRPr="00FD0CE9">
        <w:rPr>
          <w:b/>
          <w:bCs/>
          <w:i/>
          <w:iCs/>
          <w:lang w:eastAsia="en-US"/>
        </w:rPr>
        <w:t>materials</w:t>
      </w:r>
      <w:proofErr w:type="spellEnd"/>
      <w:r w:rsidRPr="00FD0CE9">
        <w:rPr>
          <w:b/>
          <w:bCs/>
          <w:i/>
          <w:iCs/>
          <w:lang w:eastAsia="en-US"/>
        </w:rPr>
        <w:t xml:space="preserve"> and the </w:t>
      </w:r>
      <w:proofErr w:type="spellStart"/>
      <w:r w:rsidRPr="00FD0CE9">
        <w:rPr>
          <w:b/>
          <w:bCs/>
          <w:i/>
          <w:iCs/>
          <w:lang w:eastAsia="en-US"/>
        </w:rPr>
        <w:t>geopolitical</w:t>
      </w:r>
      <w:proofErr w:type="spellEnd"/>
      <w:r w:rsidRPr="00FD0CE9">
        <w:rPr>
          <w:b/>
          <w:bCs/>
          <w:i/>
          <w:iCs/>
          <w:lang w:eastAsia="en-US"/>
        </w:rPr>
        <w:t xml:space="preserve"> scenario are </w:t>
      </w:r>
      <w:proofErr w:type="spellStart"/>
      <w:r w:rsidRPr="00FD0CE9">
        <w:rPr>
          <w:b/>
          <w:bCs/>
          <w:i/>
          <w:iCs/>
          <w:lang w:eastAsia="en-US"/>
        </w:rPr>
        <w:t>weighing</w:t>
      </w:r>
      <w:proofErr w:type="spellEnd"/>
      <w:r w:rsidRPr="00FD0CE9">
        <w:rPr>
          <w:b/>
          <w:bCs/>
          <w:i/>
          <w:iCs/>
          <w:lang w:eastAsia="en-US"/>
        </w:rPr>
        <w:t xml:space="preserve"> on the </w:t>
      </w:r>
      <w:proofErr w:type="spellStart"/>
      <w:r w:rsidR="006A188C">
        <w:rPr>
          <w:b/>
          <w:bCs/>
          <w:i/>
          <w:iCs/>
          <w:lang w:eastAsia="en-US"/>
        </w:rPr>
        <w:t>rest</w:t>
      </w:r>
      <w:proofErr w:type="spellEnd"/>
      <w:r w:rsidRPr="00FD0CE9">
        <w:rPr>
          <w:b/>
          <w:bCs/>
          <w:i/>
          <w:iCs/>
          <w:lang w:eastAsia="en-US"/>
        </w:rPr>
        <w:t xml:space="preserve"> of the </w:t>
      </w:r>
      <w:proofErr w:type="spellStart"/>
      <w:r w:rsidRPr="00FD0CE9">
        <w:rPr>
          <w:b/>
          <w:bCs/>
          <w:i/>
          <w:iCs/>
          <w:lang w:eastAsia="en-US"/>
        </w:rPr>
        <w:t>year</w:t>
      </w:r>
      <w:proofErr w:type="spellEnd"/>
      <w:r w:rsidRPr="00FD0CE9">
        <w:rPr>
          <w:b/>
          <w:bCs/>
          <w:i/>
          <w:iCs/>
          <w:lang w:eastAsia="en-US"/>
        </w:rPr>
        <w:t>.</w:t>
      </w:r>
    </w:p>
    <w:p w14:paraId="6098C6A5" w14:textId="77777777" w:rsidR="00FD0CE9" w:rsidRPr="00FD0CE9" w:rsidRDefault="00FD0CE9" w:rsidP="00FD0CE9">
      <w:pPr>
        <w:ind w:left="2127" w:right="424"/>
        <w:jc w:val="both"/>
        <w:rPr>
          <w:i/>
          <w:iCs/>
          <w:lang w:eastAsia="en-US"/>
        </w:rPr>
      </w:pPr>
    </w:p>
    <w:p w14:paraId="600987C6" w14:textId="2594BB15" w:rsidR="00C3312D" w:rsidRDefault="00000000">
      <w:pPr>
        <w:ind w:left="2127" w:right="424"/>
        <w:jc w:val="both"/>
        <w:rPr>
          <w:lang w:eastAsia="en-US"/>
        </w:rPr>
      </w:pPr>
      <w:r w:rsidRPr="00FD0CE9">
        <w:rPr>
          <w:lang w:eastAsia="en-US"/>
        </w:rPr>
        <w:t xml:space="preserve">In the first </w:t>
      </w:r>
      <w:proofErr w:type="spellStart"/>
      <w:r w:rsidRPr="00FD0CE9">
        <w:rPr>
          <w:lang w:eastAsia="en-US"/>
        </w:rPr>
        <w:t>half</w:t>
      </w:r>
      <w:proofErr w:type="spellEnd"/>
      <w:r w:rsidRPr="00FD0CE9">
        <w:rPr>
          <w:lang w:eastAsia="en-US"/>
        </w:rPr>
        <w:t xml:space="preserve"> of the </w:t>
      </w:r>
      <w:proofErr w:type="spellStart"/>
      <w:r w:rsidRPr="00FD0CE9">
        <w:rPr>
          <w:lang w:eastAsia="en-US"/>
        </w:rPr>
        <w:t>year</w:t>
      </w:r>
      <w:proofErr w:type="spellEnd"/>
      <w:r w:rsidRPr="00FD0CE9">
        <w:rPr>
          <w:lang w:eastAsia="en-US"/>
        </w:rPr>
        <w:t xml:space="preserve">, the </w:t>
      </w:r>
      <w:proofErr w:type="spellStart"/>
      <w:r w:rsidRPr="00FD0CE9">
        <w:rPr>
          <w:lang w:eastAsia="en-US"/>
        </w:rPr>
        <w:t>agricultural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machinery</w:t>
      </w:r>
      <w:proofErr w:type="spellEnd"/>
      <w:r w:rsidRPr="00FD0CE9">
        <w:rPr>
          <w:lang w:eastAsia="en-US"/>
        </w:rPr>
        <w:t xml:space="preserve"> market </w:t>
      </w:r>
      <w:proofErr w:type="spellStart"/>
      <w:r w:rsidRPr="00FD0CE9">
        <w:rPr>
          <w:lang w:eastAsia="en-US"/>
        </w:rPr>
        <w:t>confirmed</w:t>
      </w:r>
      <w:proofErr w:type="spellEnd"/>
      <w:r w:rsidRPr="00FD0CE9">
        <w:rPr>
          <w:lang w:eastAsia="en-US"/>
        </w:rPr>
        <w:t xml:space="preserve"> high sales </w:t>
      </w:r>
      <w:proofErr w:type="spellStart"/>
      <w:r w:rsidRPr="00FD0CE9">
        <w:rPr>
          <w:lang w:eastAsia="en-US"/>
        </w:rPr>
        <w:t>volumes</w:t>
      </w:r>
      <w:proofErr w:type="spellEnd"/>
      <w:r w:rsidRPr="00FD0CE9">
        <w:rPr>
          <w:lang w:eastAsia="en-US"/>
        </w:rPr>
        <w:t xml:space="preserve">, </w:t>
      </w:r>
      <w:proofErr w:type="spellStart"/>
      <w:r w:rsidRPr="00FD0CE9">
        <w:rPr>
          <w:lang w:eastAsia="en-US"/>
        </w:rPr>
        <w:t>albeit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lower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than</w:t>
      </w:r>
      <w:proofErr w:type="spellEnd"/>
      <w:r w:rsidRPr="00FD0CE9">
        <w:rPr>
          <w:lang w:eastAsia="en-US"/>
        </w:rPr>
        <w:t xml:space="preserve"> the record </w:t>
      </w:r>
      <w:proofErr w:type="spellStart"/>
      <w:r w:rsidRPr="00FD0CE9">
        <w:rPr>
          <w:lang w:eastAsia="en-US"/>
        </w:rPr>
        <w:t>levels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reached</w:t>
      </w:r>
      <w:proofErr w:type="spellEnd"/>
      <w:r w:rsidRPr="00FD0CE9">
        <w:rPr>
          <w:lang w:eastAsia="en-US"/>
        </w:rPr>
        <w:t xml:space="preserve"> in 2021. The </w:t>
      </w:r>
      <w:proofErr w:type="spellStart"/>
      <w:r w:rsidRPr="00FD0CE9">
        <w:rPr>
          <w:lang w:eastAsia="en-US"/>
        </w:rPr>
        <w:t>registration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figures</w:t>
      </w:r>
      <w:proofErr w:type="spellEnd"/>
      <w:r w:rsidRPr="00FD0CE9">
        <w:rPr>
          <w:lang w:eastAsia="en-US"/>
        </w:rPr>
        <w:t xml:space="preserve"> - </w:t>
      </w:r>
      <w:proofErr w:type="spellStart"/>
      <w:r w:rsidRPr="00FD0CE9">
        <w:rPr>
          <w:lang w:eastAsia="en-US"/>
        </w:rPr>
        <w:t>supplied</w:t>
      </w:r>
      <w:proofErr w:type="spellEnd"/>
      <w:r w:rsidRPr="00FD0CE9">
        <w:rPr>
          <w:lang w:eastAsia="en-US"/>
        </w:rPr>
        <w:t xml:space="preserve"> by the </w:t>
      </w:r>
      <w:proofErr w:type="spellStart"/>
      <w:r w:rsidRPr="00FD0CE9">
        <w:rPr>
          <w:lang w:eastAsia="en-US"/>
        </w:rPr>
        <w:t>Ministry</w:t>
      </w:r>
      <w:proofErr w:type="spellEnd"/>
      <w:r w:rsidRPr="00FD0CE9">
        <w:rPr>
          <w:lang w:eastAsia="en-US"/>
        </w:rPr>
        <w:t xml:space="preserve"> of </w:t>
      </w:r>
      <w:proofErr w:type="spellStart"/>
      <w:r w:rsidRPr="00FD0CE9">
        <w:rPr>
          <w:lang w:eastAsia="en-US"/>
        </w:rPr>
        <w:t>Transport</w:t>
      </w:r>
      <w:proofErr w:type="spellEnd"/>
      <w:r w:rsidRPr="00FD0CE9">
        <w:rPr>
          <w:lang w:eastAsia="en-US"/>
        </w:rPr>
        <w:t xml:space="preserve"> and </w:t>
      </w:r>
      <w:proofErr w:type="spellStart"/>
      <w:r w:rsidRPr="00FD0CE9">
        <w:rPr>
          <w:lang w:eastAsia="en-US"/>
        </w:rPr>
        <w:t>processed</w:t>
      </w:r>
      <w:proofErr w:type="spellEnd"/>
      <w:r w:rsidRPr="00FD0CE9">
        <w:rPr>
          <w:lang w:eastAsia="en-US"/>
        </w:rPr>
        <w:t xml:space="preserve"> by </w:t>
      </w:r>
      <w:proofErr w:type="spellStart"/>
      <w:r w:rsidRPr="00FD0CE9">
        <w:rPr>
          <w:lang w:eastAsia="en-US"/>
        </w:rPr>
        <w:t>FederUnacoma</w:t>
      </w:r>
      <w:proofErr w:type="spellEnd"/>
      <w:r w:rsidRPr="00FD0CE9">
        <w:rPr>
          <w:lang w:eastAsia="en-US"/>
        </w:rPr>
        <w:t xml:space="preserve"> - indicate in </w:t>
      </w:r>
      <w:proofErr w:type="spellStart"/>
      <w:r w:rsidRPr="00FD0CE9">
        <w:rPr>
          <w:lang w:eastAsia="en-US"/>
        </w:rPr>
        <w:t>fact</w:t>
      </w:r>
      <w:proofErr w:type="spellEnd"/>
      <w:r w:rsidRPr="00FD0CE9">
        <w:rPr>
          <w:lang w:eastAsia="en-US"/>
        </w:rPr>
        <w:t xml:space="preserve">, in the </w:t>
      </w:r>
      <w:proofErr w:type="spellStart"/>
      <w:r w:rsidRPr="00FD0CE9">
        <w:rPr>
          <w:lang w:eastAsia="en-US"/>
        </w:rPr>
        <w:t>period</w:t>
      </w:r>
      <w:proofErr w:type="spellEnd"/>
      <w:r w:rsidRPr="00FD0CE9">
        <w:rPr>
          <w:lang w:eastAsia="en-US"/>
        </w:rPr>
        <w:t xml:space="preserve"> from </w:t>
      </w:r>
      <w:proofErr w:type="spellStart"/>
      <w:r w:rsidRPr="00FD0CE9">
        <w:rPr>
          <w:lang w:eastAsia="en-US"/>
        </w:rPr>
        <w:t>January</w:t>
      </w:r>
      <w:proofErr w:type="spellEnd"/>
      <w:r w:rsidRPr="00FD0CE9">
        <w:rPr>
          <w:lang w:eastAsia="en-US"/>
        </w:rPr>
        <w:t xml:space="preserve"> to June, a </w:t>
      </w:r>
      <w:r w:rsidR="006A188C" w:rsidRPr="00FD0CE9">
        <w:rPr>
          <w:lang w:eastAsia="en-US"/>
        </w:rPr>
        <w:t>11.9%</w:t>
      </w:r>
      <w:r w:rsidR="006A188C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decline</w:t>
      </w:r>
      <w:proofErr w:type="spellEnd"/>
      <w:r w:rsidRPr="00FD0CE9">
        <w:rPr>
          <w:lang w:eastAsia="en-US"/>
        </w:rPr>
        <w:t xml:space="preserve"> for </w:t>
      </w:r>
      <w:proofErr w:type="spellStart"/>
      <w:r w:rsidRPr="00FD0CE9">
        <w:rPr>
          <w:lang w:eastAsia="en-US"/>
        </w:rPr>
        <w:t>tractors</w:t>
      </w:r>
      <w:proofErr w:type="spellEnd"/>
      <w:r w:rsidRPr="00FD0CE9">
        <w:rPr>
          <w:lang w:eastAsia="en-US"/>
        </w:rPr>
        <w:t xml:space="preserve">, with 11,050 </w:t>
      </w:r>
      <w:proofErr w:type="spellStart"/>
      <w:r w:rsidRPr="00FD0CE9">
        <w:rPr>
          <w:lang w:eastAsia="en-US"/>
        </w:rPr>
        <w:t>units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registered</w:t>
      </w:r>
      <w:proofErr w:type="spellEnd"/>
      <w:r w:rsidRPr="00FD0CE9">
        <w:rPr>
          <w:lang w:eastAsia="en-US"/>
        </w:rPr>
        <w:t xml:space="preserve">, a </w:t>
      </w:r>
      <w:proofErr w:type="spellStart"/>
      <w:r w:rsidRPr="00FD0CE9">
        <w:rPr>
          <w:lang w:eastAsia="en-US"/>
        </w:rPr>
        <w:t>number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that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remains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above</w:t>
      </w:r>
      <w:proofErr w:type="spellEnd"/>
      <w:r w:rsidRPr="00FD0CE9">
        <w:rPr>
          <w:lang w:eastAsia="en-US"/>
        </w:rPr>
        <w:t xml:space="preserve"> the </w:t>
      </w:r>
      <w:proofErr w:type="spellStart"/>
      <w:r w:rsidRPr="00FD0CE9">
        <w:rPr>
          <w:lang w:eastAsia="en-US"/>
        </w:rPr>
        <w:t>average</w:t>
      </w:r>
      <w:proofErr w:type="spellEnd"/>
      <w:r w:rsidRPr="00FD0CE9">
        <w:rPr>
          <w:lang w:eastAsia="en-US"/>
        </w:rPr>
        <w:t xml:space="preserve"> of the last </w:t>
      </w:r>
      <w:proofErr w:type="spellStart"/>
      <w:r w:rsidRPr="00FD0CE9">
        <w:rPr>
          <w:lang w:eastAsia="en-US"/>
        </w:rPr>
        <w:t>four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years</w:t>
      </w:r>
      <w:proofErr w:type="spellEnd"/>
      <w:r w:rsidRPr="00FD0CE9">
        <w:rPr>
          <w:lang w:eastAsia="en-US"/>
        </w:rPr>
        <w:t xml:space="preserve">, </w:t>
      </w:r>
      <w:proofErr w:type="spellStart"/>
      <w:r w:rsidRPr="00FD0CE9">
        <w:rPr>
          <w:lang w:eastAsia="en-US"/>
        </w:rPr>
        <w:t>when</w:t>
      </w:r>
      <w:proofErr w:type="spellEnd"/>
      <w:r w:rsidRPr="00FD0CE9">
        <w:rPr>
          <w:lang w:eastAsia="en-US"/>
        </w:rPr>
        <w:t xml:space="preserve"> sales in the first </w:t>
      </w:r>
      <w:proofErr w:type="spellStart"/>
      <w:r w:rsidRPr="00FD0CE9">
        <w:rPr>
          <w:lang w:eastAsia="en-US"/>
        </w:rPr>
        <w:t>half</w:t>
      </w:r>
      <w:proofErr w:type="spellEnd"/>
      <w:r w:rsidRPr="00FD0CE9">
        <w:rPr>
          <w:lang w:eastAsia="en-US"/>
        </w:rPr>
        <w:t xml:space="preserve"> of the </w:t>
      </w:r>
      <w:proofErr w:type="spellStart"/>
      <w:r w:rsidRPr="00FD0CE9">
        <w:rPr>
          <w:lang w:eastAsia="en-US"/>
        </w:rPr>
        <w:t>year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were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around</w:t>
      </w:r>
      <w:proofErr w:type="spellEnd"/>
      <w:r w:rsidRPr="00FD0CE9">
        <w:rPr>
          <w:lang w:eastAsia="en-US"/>
        </w:rPr>
        <w:t xml:space="preserve"> 10,000 </w:t>
      </w:r>
      <w:proofErr w:type="spellStart"/>
      <w:r w:rsidRPr="00FD0CE9">
        <w:rPr>
          <w:lang w:eastAsia="en-US"/>
        </w:rPr>
        <w:t>units</w:t>
      </w:r>
      <w:proofErr w:type="spellEnd"/>
      <w:r w:rsidRPr="00FD0CE9">
        <w:rPr>
          <w:lang w:eastAsia="en-US"/>
        </w:rPr>
        <w:t xml:space="preserve">. </w:t>
      </w:r>
    </w:p>
    <w:p w14:paraId="68AA9CFB" w14:textId="08DBA536" w:rsidR="00C3312D" w:rsidRDefault="00000000">
      <w:pPr>
        <w:ind w:left="2127" w:right="424"/>
        <w:jc w:val="both"/>
        <w:rPr>
          <w:lang w:eastAsia="en-US"/>
        </w:rPr>
      </w:pPr>
      <w:proofErr w:type="spellStart"/>
      <w:r w:rsidRPr="00FD0CE9">
        <w:rPr>
          <w:lang w:eastAsia="en-US"/>
        </w:rPr>
        <w:t>Registrations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were</w:t>
      </w:r>
      <w:proofErr w:type="spellEnd"/>
      <w:r w:rsidRPr="00FD0CE9">
        <w:rPr>
          <w:lang w:eastAsia="en-US"/>
        </w:rPr>
        <w:t xml:space="preserve"> down, </w:t>
      </w:r>
      <w:proofErr w:type="spellStart"/>
      <w:r w:rsidRPr="00FD0CE9">
        <w:rPr>
          <w:lang w:eastAsia="en-US"/>
        </w:rPr>
        <w:t>but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still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at</w:t>
      </w:r>
      <w:proofErr w:type="spellEnd"/>
      <w:r w:rsidRPr="00FD0CE9">
        <w:rPr>
          <w:lang w:eastAsia="en-US"/>
        </w:rPr>
        <w:t xml:space="preserve"> high </w:t>
      </w:r>
      <w:proofErr w:type="spellStart"/>
      <w:r w:rsidRPr="00FD0CE9">
        <w:rPr>
          <w:lang w:eastAsia="en-US"/>
        </w:rPr>
        <w:t>levels</w:t>
      </w:r>
      <w:proofErr w:type="spellEnd"/>
      <w:r w:rsidRPr="00FD0CE9">
        <w:rPr>
          <w:lang w:eastAsia="en-US"/>
        </w:rPr>
        <w:t xml:space="preserve">, </w:t>
      </w:r>
      <w:proofErr w:type="spellStart"/>
      <w:r w:rsidRPr="00FD0CE9">
        <w:rPr>
          <w:lang w:eastAsia="en-US"/>
        </w:rPr>
        <w:t>also</w:t>
      </w:r>
      <w:proofErr w:type="spellEnd"/>
      <w:r w:rsidRPr="00FD0CE9">
        <w:rPr>
          <w:lang w:eastAsia="en-US"/>
        </w:rPr>
        <w:t xml:space="preserve"> for combine </w:t>
      </w:r>
      <w:proofErr w:type="spellStart"/>
      <w:r w:rsidRPr="00FD0CE9">
        <w:rPr>
          <w:lang w:eastAsia="en-US"/>
        </w:rPr>
        <w:t>harvesters</w:t>
      </w:r>
      <w:proofErr w:type="spellEnd"/>
      <w:r w:rsidRPr="00FD0CE9">
        <w:rPr>
          <w:lang w:eastAsia="en-US"/>
        </w:rPr>
        <w:t xml:space="preserve"> (-5.7% </w:t>
      </w:r>
      <w:proofErr w:type="spellStart"/>
      <w:r w:rsidR="006A188C">
        <w:rPr>
          <w:lang w:eastAsia="en-US"/>
        </w:rPr>
        <w:t>compared</w:t>
      </w:r>
      <w:proofErr w:type="spellEnd"/>
      <w:r w:rsidR="006A188C">
        <w:rPr>
          <w:lang w:eastAsia="en-US"/>
        </w:rPr>
        <w:t xml:space="preserve"> to</w:t>
      </w:r>
      <w:r w:rsidRPr="00FD0CE9">
        <w:rPr>
          <w:lang w:eastAsia="en-US"/>
        </w:rPr>
        <w:t xml:space="preserve"> 2021) and loader bed </w:t>
      </w:r>
      <w:proofErr w:type="spellStart"/>
      <w:r w:rsidRPr="00FD0CE9">
        <w:rPr>
          <w:lang w:eastAsia="en-US"/>
        </w:rPr>
        <w:t>tractors</w:t>
      </w:r>
      <w:proofErr w:type="spellEnd"/>
      <w:r w:rsidRPr="00FD0CE9">
        <w:rPr>
          <w:lang w:eastAsia="en-US"/>
        </w:rPr>
        <w:t xml:space="preserve"> (-15%), </w:t>
      </w:r>
      <w:proofErr w:type="spellStart"/>
      <w:r w:rsidRPr="00FD0CE9">
        <w:rPr>
          <w:lang w:eastAsia="en-US"/>
        </w:rPr>
        <w:t>which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recorded</w:t>
      </w:r>
      <w:proofErr w:type="spellEnd"/>
      <w:r w:rsidRPr="00FD0CE9">
        <w:rPr>
          <w:lang w:eastAsia="en-US"/>
        </w:rPr>
        <w:t xml:space="preserve"> 216 and 278 </w:t>
      </w:r>
      <w:proofErr w:type="spellStart"/>
      <w:r w:rsidRPr="00FD0CE9">
        <w:rPr>
          <w:lang w:eastAsia="en-US"/>
        </w:rPr>
        <w:t>units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sold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respectively</w:t>
      </w:r>
      <w:proofErr w:type="spellEnd"/>
      <w:r w:rsidRPr="00FD0CE9">
        <w:rPr>
          <w:lang w:eastAsia="en-US"/>
        </w:rPr>
        <w:t xml:space="preserve">. A more </w:t>
      </w:r>
      <w:proofErr w:type="spellStart"/>
      <w:r w:rsidRPr="00FD0CE9">
        <w:rPr>
          <w:lang w:eastAsia="en-US"/>
        </w:rPr>
        <w:t>consistent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downturn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characterises</w:t>
      </w:r>
      <w:proofErr w:type="spellEnd"/>
      <w:r w:rsidRPr="00FD0CE9">
        <w:rPr>
          <w:lang w:eastAsia="en-US"/>
        </w:rPr>
        <w:t xml:space="preserve"> the performance of </w:t>
      </w:r>
      <w:proofErr w:type="spellStart"/>
      <w:r w:rsidRPr="00FD0CE9">
        <w:rPr>
          <w:lang w:eastAsia="en-US"/>
        </w:rPr>
        <w:t>telescopic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handlers</w:t>
      </w:r>
      <w:proofErr w:type="spellEnd"/>
      <w:r w:rsidRPr="00FD0CE9">
        <w:rPr>
          <w:lang w:eastAsia="en-US"/>
        </w:rPr>
        <w:t xml:space="preserve"> (-26.6% to 555 </w:t>
      </w:r>
      <w:proofErr w:type="spellStart"/>
      <w:r w:rsidRPr="00FD0CE9">
        <w:rPr>
          <w:lang w:eastAsia="en-US"/>
        </w:rPr>
        <w:t>units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sold</w:t>
      </w:r>
      <w:proofErr w:type="spellEnd"/>
      <w:r w:rsidRPr="00FD0CE9">
        <w:rPr>
          <w:lang w:eastAsia="en-US"/>
        </w:rPr>
        <w:t xml:space="preserve">), the product </w:t>
      </w:r>
      <w:proofErr w:type="spellStart"/>
      <w:r w:rsidRPr="00FD0CE9">
        <w:rPr>
          <w:lang w:eastAsia="en-US"/>
        </w:rPr>
        <w:t>type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that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had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grown</w:t>
      </w:r>
      <w:proofErr w:type="spellEnd"/>
      <w:r w:rsidRPr="00FD0CE9">
        <w:rPr>
          <w:lang w:eastAsia="en-US"/>
        </w:rPr>
        <w:t xml:space="preserve"> the </w:t>
      </w:r>
      <w:proofErr w:type="spellStart"/>
      <w:r w:rsidRPr="00FD0CE9">
        <w:rPr>
          <w:lang w:eastAsia="en-US"/>
        </w:rPr>
        <w:t>most</w:t>
      </w:r>
      <w:proofErr w:type="spellEnd"/>
      <w:r w:rsidRPr="00FD0CE9">
        <w:rPr>
          <w:lang w:eastAsia="en-US"/>
        </w:rPr>
        <w:t xml:space="preserve"> in the first </w:t>
      </w:r>
      <w:proofErr w:type="spellStart"/>
      <w:r w:rsidRPr="00FD0CE9">
        <w:rPr>
          <w:lang w:eastAsia="en-US"/>
        </w:rPr>
        <w:t>half</w:t>
      </w:r>
      <w:proofErr w:type="spellEnd"/>
      <w:r w:rsidRPr="00FD0CE9">
        <w:rPr>
          <w:lang w:eastAsia="en-US"/>
        </w:rPr>
        <w:t xml:space="preserve"> of last </w:t>
      </w:r>
      <w:proofErr w:type="spellStart"/>
      <w:r w:rsidRPr="00FD0CE9">
        <w:rPr>
          <w:lang w:eastAsia="en-US"/>
        </w:rPr>
        <w:t>year</w:t>
      </w:r>
      <w:proofErr w:type="spellEnd"/>
      <w:r w:rsidRPr="00FD0CE9">
        <w:rPr>
          <w:lang w:eastAsia="en-US"/>
        </w:rPr>
        <w:t xml:space="preserve"> (+85%). Trailers </w:t>
      </w:r>
      <w:proofErr w:type="spellStart"/>
      <w:r w:rsidRPr="00FD0CE9">
        <w:rPr>
          <w:lang w:eastAsia="en-US"/>
        </w:rPr>
        <w:t>were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also</w:t>
      </w:r>
      <w:proofErr w:type="spellEnd"/>
      <w:r w:rsidRPr="00FD0CE9">
        <w:rPr>
          <w:lang w:eastAsia="en-US"/>
        </w:rPr>
        <w:t xml:space="preserve"> down, with 4,332 </w:t>
      </w:r>
      <w:proofErr w:type="spellStart"/>
      <w:r w:rsidRPr="00FD0CE9">
        <w:rPr>
          <w:lang w:eastAsia="en-US"/>
        </w:rPr>
        <w:t>units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registered</w:t>
      </w:r>
      <w:proofErr w:type="spellEnd"/>
      <w:r w:rsidRPr="00FD0CE9">
        <w:rPr>
          <w:lang w:eastAsia="en-US"/>
        </w:rPr>
        <w:t xml:space="preserve">, down 9.2% </w:t>
      </w:r>
      <w:proofErr w:type="spellStart"/>
      <w:r w:rsidRPr="00FD0CE9">
        <w:rPr>
          <w:lang w:eastAsia="en-US"/>
        </w:rPr>
        <w:t>compared</w:t>
      </w:r>
      <w:proofErr w:type="spellEnd"/>
      <w:r w:rsidRPr="00FD0CE9">
        <w:rPr>
          <w:lang w:eastAsia="en-US"/>
        </w:rPr>
        <w:t xml:space="preserve"> to the </w:t>
      </w:r>
      <w:proofErr w:type="spellStart"/>
      <w:r w:rsidRPr="00FD0CE9">
        <w:rPr>
          <w:lang w:eastAsia="en-US"/>
        </w:rPr>
        <w:t>same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period</w:t>
      </w:r>
      <w:proofErr w:type="spellEnd"/>
      <w:r w:rsidRPr="00FD0CE9">
        <w:rPr>
          <w:lang w:eastAsia="en-US"/>
        </w:rPr>
        <w:t xml:space="preserve"> of 2021. </w:t>
      </w:r>
    </w:p>
    <w:p w14:paraId="74553228" w14:textId="77777777" w:rsidR="00C3312D" w:rsidRDefault="00000000">
      <w:pPr>
        <w:ind w:left="2127" w:right="424"/>
        <w:jc w:val="both"/>
        <w:rPr>
          <w:lang w:eastAsia="en-US"/>
        </w:rPr>
      </w:pPr>
      <w:proofErr w:type="spellStart"/>
      <w:r w:rsidRPr="00FD0CE9">
        <w:rPr>
          <w:lang w:eastAsia="en-US"/>
        </w:rPr>
        <w:t>According</w:t>
      </w:r>
      <w:proofErr w:type="spellEnd"/>
      <w:r w:rsidRPr="00FD0CE9">
        <w:rPr>
          <w:lang w:eastAsia="en-US"/>
        </w:rPr>
        <w:t xml:space="preserve"> to </w:t>
      </w:r>
      <w:proofErr w:type="spellStart"/>
      <w:r w:rsidRPr="00FD0CE9">
        <w:rPr>
          <w:lang w:eastAsia="en-US"/>
        </w:rPr>
        <w:t>FederUnacoma</w:t>
      </w:r>
      <w:proofErr w:type="spellEnd"/>
      <w:r w:rsidRPr="00FD0CE9">
        <w:rPr>
          <w:lang w:eastAsia="en-US"/>
        </w:rPr>
        <w:t xml:space="preserve">, the </w:t>
      </w:r>
      <w:proofErr w:type="spellStart"/>
      <w:r w:rsidRPr="00FD0CE9">
        <w:rPr>
          <w:lang w:eastAsia="en-US"/>
        </w:rPr>
        <w:t>contraction</w:t>
      </w:r>
      <w:proofErr w:type="spellEnd"/>
      <w:r w:rsidRPr="00FD0CE9">
        <w:rPr>
          <w:lang w:eastAsia="en-US"/>
        </w:rPr>
        <w:t xml:space="preserve"> in sales </w:t>
      </w:r>
      <w:proofErr w:type="spellStart"/>
      <w:r w:rsidRPr="00FD0CE9">
        <w:rPr>
          <w:lang w:eastAsia="en-US"/>
        </w:rPr>
        <w:t>observed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between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January</w:t>
      </w:r>
      <w:proofErr w:type="spellEnd"/>
      <w:r w:rsidRPr="00FD0CE9">
        <w:rPr>
          <w:lang w:eastAsia="en-US"/>
        </w:rPr>
        <w:t xml:space="preserve"> and June </w:t>
      </w:r>
      <w:proofErr w:type="spellStart"/>
      <w:r w:rsidRPr="00FD0CE9">
        <w:rPr>
          <w:lang w:eastAsia="en-US"/>
        </w:rPr>
        <w:t>was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not</w:t>
      </w:r>
      <w:proofErr w:type="spellEnd"/>
      <w:r w:rsidRPr="00FD0CE9">
        <w:rPr>
          <w:lang w:eastAsia="en-US"/>
        </w:rPr>
        <w:t xml:space="preserve"> due to a drop in demand, </w:t>
      </w:r>
      <w:proofErr w:type="spellStart"/>
      <w:r w:rsidRPr="00FD0CE9">
        <w:rPr>
          <w:lang w:eastAsia="en-US"/>
        </w:rPr>
        <w:t>which</w:t>
      </w:r>
      <w:proofErr w:type="spellEnd"/>
      <w:r w:rsidRPr="00FD0CE9">
        <w:rPr>
          <w:lang w:eastAsia="en-US"/>
        </w:rPr>
        <w:t xml:space="preserve">, on the </w:t>
      </w:r>
      <w:proofErr w:type="spellStart"/>
      <w:r w:rsidRPr="00FD0CE9">
        <w:rPr>
          <w:lang w:eastAsia="en-US"/>
        </w:rPr>
        <w:t>contrary</w:t>
      </w:r>
      <w:proofErr w:type="spellEnd"/>
      <w:r w:rsidRPr="00FD0CE9">
        <w:rPr>
          <w:lang w:eastAsia="en-US"/>
        </w:rPr>
        <w:t xml:space="preserve">, </w:t>
      </w:r>
      <w:proofErr w:type="spellStart"/>
      <w:r w:rsidRPr="00FD0CE9">
        <w:rPr>
          <w:lang w:eastAsia="en-US"/>
        </w:rPr>
        <w:t>continued</w:t>
      </w:r>
      <w:proofErr w:type="spellEnd"/>
      <w:r w:rsidRPr="00FD0CE9">
        <w:rPr>
          <w:lang w:eastAsia="en-US"/>
        </w:rPr>
        <w:t xml:space="preserve"> to be </w:t>
      </w:r>
      <w:proofErr w:type="spellStart"/>
      <w:r w:rsidRPr="00FD0CE9">
        <w:rPr>
          <w:lang w:eastAsia="en-US"/>
        </w:rPr>
        <w:t>sustained</w:t>
      </w:r>
      <w:proofErr w:type="spellEnd"/>
      <w:r w:rsidRPr="00FD0CE9">
        <w:rPr>
          <w:lang w:eastAsia="en-US"/>
        </w:rPr>
        <w:t xml:space="preserve">. </w:t>
      </w:r>
      <w:proofErr w:type="spellStart"/>
      <w:r w:rsidRPr="00FD0CE9">
        <w:rPr>
          <w:lang w:eastAsia="en-US"/>
        </w:rPr>
        <w:t>Already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at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its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annual</w:t>
      </w:r>
      <w:proofErr w:type="spellEnd"/>
      <w:r w:rsidRPr="00FD0CE9">
        <w:rPr>
          <w:lang w:eastAsia="en-US"/>
        </w:rPr>
        <w:t xml:space="preserve"> meeting in </w:t>
      </w:r>
      <w:proofErr w:type="spellStart"/>
      <w:r w:rsidRPr="00FD0CE9">
        <w:rPr>
          <w:lang w:eastAsia="en-US"/>
        </w:rPr>
        <w:t>Varignana</w:t>
      </w:r>
      <w:proofErr w:type="spellEnd"/>
      <w:r w:rsidRPr="00FD0CE9">
        <w:rPr>
          <w:lang w:eastAsia="en-US"/>
        </w:rPr>
        <w:t xml:space="preserve"> (Bologna) </w:t>
      </w:r>
      <w:proofErr w:type="spellStart"/>
      <w:r w:rsidRPr="00FD0CE9">
        <w:rPr>
          <w:lang w:eastAsia="en-US"/>
        </w:rPr>
        <w:t>at</w:t>
      </w:r>
      <w:proofErr w:type="spellEnd"/>
      <w:r w:rsidRPr="00FD0CE9">
        <w:rPr>
          <w:lang w:eastAsia="en-US"/>
        </w:rPr>
        <w:t xml:space="preserve"> the end of June, the </w:t>
      </w:r>
      <w:proofErr w:type="spellStart"/>
      <w:r w:rsidRPr="00FD0CE9">
        <w:rPr>
          <w:lang w:eastAsia="en-US"/>
        </w:rPr>
        <w:t>association</w:t>
      </w:r>
      <w:proofErr w:type="spellEnd"/>
      <w:r w:rsidRPr="00FD0CE9">
        <w:rPr>
          <w:lang w:eastAsia="en-US"/>
        </w:rPr>
        <w:t xml:space="preserve"> of </w:t>
      </w:r>
      <w:proofErr w:type="spellStart"/>
      <w:r w:rsidRPr="00FD0CE9">
        <w:rPr>
          <w:lang w:eastAsia="en-US"/>
        </w:rPr>
        <w:t>agricultural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machinery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manufacturers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had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pointed</w:t>
      </w:r>
      <w:proofErr w:type="spellEnd"/>
      <w:r w:rsidRPr="00FD0CE9">
        <w:rPr>
          <w:lang w:eastAsia="en-US"/>
        </w:rPr>
        <w:t xml:space="preserve"> out </w:t>
      </w:r>
      <w:proofErr w:type="spellStart"/>
      <w:r w:rsidRPr="00FD0CE9">
        <w:rPr>
          <w:lang w:eastAsia="en-US"/>
        </w:rPr>
        <w:t>that</w:t>
      </w:r>
      <w:proofErr w:type="spellEnd"/>
      <w:r w:rsidRPr="00FD0CE9">
        <w:rPr>
          <w:lang w:eastAsia="en-US"/>
        </w:rPr>
        <w:t xml:space="preserve"> the market </w:t>
      </w:r>
      <w:proofErr w:type="spellStart"/>
      <w:r w:rsidRPr="00FD0CE9">
        <w:rPr>
          <w:lang w:eastAsia="en-US"/>
        </w:rPr>
        <w:t>downturn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was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mainly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caused</w:t>
      </w:r>
      <w:proofErr w:type="spellEnd"/>
      <w:r w:rsidRPr="00FD0CE9">
        <w:rPr>
          <w:lang w:eastAsia="en-US"/>
        </w:rPr>
        <w:t xml:space="preserve"> by </w:t>
      </w:r>
      <w:proofErr w:type="spellStart"/>
      <w:r w:rsidRPr="00FD0CE9">
        <w:rPr>
          <w:lang w:eastAsia="en-US"/>
        </w:rPr>
        <w:t>problems</w:t>
      </w:r>
      <w:proofErr w:type="spellEnd"/>
      <w:r w:rsidRPr="00FD0CE9">
        <w:rPr>
          <w:lang w:eastAsia="en-US"/>
        </w:rPr>
        <w:t xml:space="preserve"> in the supply chain. </w:t>
      </w:r>
    </w:p>
    <w:p w14:paraId="037214BB" w14:textId="6BB5B5AA" w:rsidR="00C3312D" w:rsidRDefault="00000000">
      <w:pPr>
        <w:ind w:left="2127" w:right="424"/>
        <w:jc w:val="both"/>
        <w:rPr>
          <w:lang w:eastAsia="en-US"/>
        </w:rPr>
      </w:pPr>
      <w:r w:rsidRPr="00FD0CE9">
        <w:rPr>
          <w:lang w:eastAsia="en-US"/>
        </w:rPr>
        <w:t xml:space="preserve">The </w:t>
      </w:r>
      <w:proofErr w:type="spellStart"/>
      <w:r w:rsidRPr="00FD0CE9">
        <w:rPr>
          <w:lang w:eastAsia="en-US"/>
        </w:rPr>
        <w:t>sector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is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therefore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confirmed</w:t>
      </w:r>
      <w:proofErr w:type="spellEnd"/>
      <w:r w:rsidRPr="00FD0CE9">
        <w:rPr>
          <w:lang w:eastAsia="en-US"/>
        </w:rPr>
        <w:t xml:space="preserve"> to be in good health, </w:t>
      </w:r>
      <w:proofErr w:type="spellStart"/>
      <w:r w:rsidRPr="00FD0CE9">
        <w:rPr>
          <w:lang w:eastAsia="en-US"/>
        </w:rPr>
        <w:t>although</w:t>
      </w:r>
      <w:proofErr w:type="spellEnd"/>
      <w:r w:rsidRPr="00FD0CE9">
        <w:rPr>
          <w:lang w:eastAsia="en-US"/>
        </w:rPr>
        <w:t xml:space="preserve"> the </w:t>
      </w:r>
      <w:proofErr w:type="spellStart"/>
      <w:r w:rsidRPr="00FD0CE9">
        <w:rPr>
          <w:lang w:eastAsia="en-US"/>
        </w:rPr>
        <w:t>continuation</w:t>
      </w:r>
      <w:proofErr w:type="spellEnd"/>
      <w:r w:rsidRPr="00FD0CE9">
        <w:rPr>
          <w:lang w:eastAsia="en-US"/>
        </w:rPr>
        <w:t xml:space="preserve"> of the </w:t>
      </w:r>
      <w:proofErr w:type="spellStart"/>
      <w:r w:rsidRPr="00FD0CE9">
        <w:rPr>
          <w:lang w:eastAsia="en-US"/>
        </w:rPr>
        <w:t>year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could</w:t>
      </w:r>
      <w:proofErr w:type="spellEnd"/>
      <w:r w:rsidRPr="00FD0CE9">
        <w:rPr>
          <w:lang w:eastAsia="en-US"/>
        </w:rPr>
        <w:t xml:space="preserve"> be </w:t>
      </w:r>
      <w:proofErr w:type="spellStart"/>
      <w:r w:rsidRPr="00FD0CE9">
        <w:rPr>
          <w:lang w:eastAsia="en-US"/>
        </w:rPr>
        <w:t>conditioned</w:t>
      </w:r>
      <w:proofErr w:type="spellEnd"/>
      <w:r w:rsidRPr="00FD0CE9">
        <w:rPr>
          <w:lang w:eastAsia="en-US"/>
        </w:rPr>
        <w:t xml:space="preserve"> by the </w:t>
      </w:r>
      <w:proofErr w:type="spellStart"/>
      <w:r w:rsidRPr="00FD0CE9">
        <w:rPr>
          <w:lang w:eastAsia="en-US"/>
        </w:rPr>
        <w:t>variables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related</w:t>
      </w:r>
      <w:proofErr w:type="spellEnd"/>
      <w:r w:rsidRPr="00FD0CE9">
        <w:rPr>
          <w:lang w:eastAsia="en-US"/>
        </w:rPr>
        <w:t xml:space="preserve"> to the cost of </w:t>
      </w:r>
      <w:proofErr w:type="spellStart"/>
      <w:r w:rsidRPr="00FD0CE9">
        <w:rPr>
          <w:lang w:eastAsia="en-US"/>
        </w:rPr>
        <w:t>raw</w:t>
      </w:r>
      <w:proofErr w:type="spellEnd"/>
      <w:r w:rsidRPr="00FD0CE9">
        <w:rPr>
          <w:lang w:eastAsia="en-US"/>
        </w:rPr>
        <w:t xml:space="preserve"> </w:t>
      </w:r>
      <w:proofErr w:type="spellStart"/>
      <w:r w:rsidRPr="00FD0CE9">
        <w:rPr>
          <w:lang w:eastAsia="en-US"/>
        </w:rPr>
        <w:t>materials</w:t>
      </w:r>
      <w:proofErr w:type="spellEnd"/>
      <w:r w:rsidRPr="00FD0CE9">
        <w:rPr>
          <w:lang w:eastAsia="en-US"/>
        </w:rPr>
        <w:t xml:space="preserve"> and the </w:t>
      </w:r>
      <w:proofErr w:type="spellStart"/>
      <w:r w:rsidR="006A188C">
        <w:rPr>
          <w:lang w:eastAsia="en-US"/>
        </w:rPr>
        <w:t>developments</w:t>
      </w:r>
      <w:proofErr w:type="spellEnd"/>
      <w:r w:rsidRPr="00FD0CE9">
        <w:rPr>
          <w:lang w:eastAsia="en-US"/>
        </w:rPr>
        <w:t xml:space="preserve"> </w:t>
      </w:r>
      <w:r w:rsidR="006A188C">
        <w:rPr>
          <w:lang w:eastAsia="en-US"/>
        </w:rPr>
        <w:t>in</w:t>
      </w:r>
      <w:r w:rsidRPr="00FD0CE9">
        <w:rPr>
          <w:lang w:eastAsia="en-US"/>
        </w:rPr>
        <w:t xml:space="preserve"> the </w:t>
      </w:r>
      <w:proofErr w:type="spellStart"/>
      <w:r w:rsidRPr="00FD0CE9">
        <w:rPr>
          <w:lang w:eastAsia="en-US"/>
        </w:rPr>
        <w:t>geopolitical</w:t>
      </w:r>
      <w:proofErr w:type="spellEnd"/>
      <w:r w:rsidRPr="00FD0CE9">
        <w:rPr>
          <w:lang w:eastAsia="en-US"/>
        </w:rPr>
        <w:t xml:space="preserve"> </w:t>
      </w:r>
      <w:proofErr w:type="spellStart"/>
      <w:r w:rsidR="006A188C">
        <w:rPr>
          <w:lang w:eastAsia="en-US"/>
        </w:rPr>
        <w:t>landscape</w:t>
      </w:r>
      <w:proofErr w:type="spellEnd"/>
      <w:r w:rsidRPr="00FD0CE9">
        <w:rPr>
          <w:lang w:eastAsia="en-US"/>
        </w:rPr>
        <w:t>.</w:t>
      </w:r>
    </w:p>
    <w:p w14:paraId="4A920880" w14:textId="77777777" w:rsidR="00B3447A" w:rsidRDefault="00B3447A" w:rsidP="00FD0CE9">
      <w:pPr>
        <w:ind w:right="424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    </w:t>
      </w:r>
    </w:p>
    <w:p w14:paraId="5F5CE3AD" w14:textId="77777777" w:rsidR="00C3312D" w:rsidRDefault="00FD0CE9">
      <w:pPr>
        <w:ind w:right="566"/>
        <w:jc w:val="both"/>
        <w:rPr>
          <w:b/>
          <w:bCs/>
          <w:iCs/>
          <w:sz w:val="25"/>
          <w:szCs w:val="25"/>
        </w:rPr>
      </w:pPr>
      <w:r>
        <w:rPr>
          <w:b/>
          <w:bCs/>
          <w:iCs/>
          <w:sz w:val="25"/>
          <w:szCs w:val="25"/>
        </w:rPr>
        <w:t xml:space="preserve">                                  Rome, 5 </w:t>
      </w:r>
      <w:proofErr w:type="spellStart"/>
      <w:r>
        <w:rPr>
          <w:b/>
          <w:bCs/>
          <w:iCs/>
          <w:sz w:val="25"/>
          <w:szCs w:val="25"/>
        </w:rPr>
        <w:t>July</w:t>
      </w:r>
      <w:proofErr w:type="spellEnd"/>
      <w:r>
        <w:rPr>
          <w:b/>
          <w:bCs/>
          <w:iCs/>
          <w:sz w:val="25"/>
          <w:szCs w:val="25"/>
        </w:rPr>
        <w:t xml:space="preserve"> 2022</w:t>
      </w:r>
    </w:p>
    <w:p w14:paraId="09974123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0AAA94AA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4D15F308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5E19595D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0D862E5D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6FAD56A3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67E19589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54329F61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35193AAF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23ED1B60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5A3FF682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62E0C1C0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6375CB7F" w14:textId="77777777" w:rsidR="00B466F1" w:rsidRDefault="00B466F1" w:rsidP="003E02BD">
      <w:pPr>
        <w:ind w:right="-143"/>
        <w:jc w:val="right"/>
        <w:rPr>
          <w:b/>
          <w:bCs/>
          <w:iCs/>
          <w:sz w:val="25"/>
          <w:szCs w:val="25"/>
        </w:rPr>
      </w:pPr>
      <w:r>
        <w:rPr>
          <w:b/>
          <w:bCs/>
          <w:iCs/>
          <w:noProof/>
          <w:sz w:val="25"/>
          <w:szCs w:val="25"/>
        </w:rPr>
        <w:lastRenderedPageBreak/>
        <w:drawing>
          <wp:inline distT="0" distB="0" distL="0" distR="0" wp14:anchorId="57973AE6" wp14:editId="5FBB7167">
            <wp:extent cx="5402287" cy="4482748"/>
            <wp:effectExtent l="0" t="0" r="825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40" cy="45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C4CB" w14:textId="77777777" w:rsidR="00B466F1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p w14:paraId="39E66AAD" w14:textId="77777777" w:rsidR="00B466F1" w:rsidRPr="00C62CC9" w:rsidRDefault="00B466F1" w:rsidP="00FD0CE9">
      <w:pPr>
        <w:ind w:right="566"/>
        <w:jc w:val="both"/>
        <w:rPr>
          <w:b/>
          <w:bCs/>
          <w:iCs/>
          <w:sz w:val="25"/>
          <w:szCs w:val="25"/>
        </w:rPr>
      </w:pPr>
    </w:p>
    <w:sectPr w:rsidR="00B466F1" w:rsidRPr="00C62CC9" w:rsidSect="002209C1">
      <w:headerReference w:type="default" r:id="rId8"/>
      <w:footerReference w:type="default" r:id="rId9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8B63" w14:textId="77777777" w:rsidR="004404F0" w:rsidRDefault="004404F0">
      <w:r>
        <w:separator/>
      </w:r>
    </w:p>
  </w:endnote>
  <w:endnote w:type="continuationSeparator" w:id="0">
    <w:p w14:paraId="3DFD39F7" w14:textId="77777777" w:rsidR="004404F0" w:rsidRDefault="004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8647" w14:textId="77777777" w:rsidR="00C3312D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87D75" w:rsidRPr="00187D75">
      <w:rPr>
        <w:noProof/>
        <w:lang w:val="it-IT"/>
      </w:rPr>
      <w:t>1</w:t>
    </w:r>
    <w:r>
      <w:fldChar w:fldCharType="end"/>
    </w:r>
  </w:p>
  <w:p w14:paraId="62A52D5B" w14:textId="77777777" w:rsidR="00CB2699" w:rsidRDefault="00CB2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2168" w14:textId="77777777" w:rsidR="004404F0" w:rsidRDefault="004404F0">
      <w:r>
        <w:separator/>
      </w:r>
    </w:p>
  </w:footnote>
  <w:footnote w:type="continuationSeparator" w:id="0">
    <w:p w14:paraId="637F504E" w14:textId="77777777" w:rsidR="004404F0" w:rsidRDefault="0044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31E5" w14:textId="77777777" w:rsidR="00C3312D" w:rsidRDefault="0000000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7DEDA6E" wp14:editId="2B6E7572">
          <wp:simplePos x="0" y="0"/>
          <wp:positionH relativeFrom="margin">
            <wp:posOffset>-821055</wp:posOffset>
          </wp:positionH>
          <wp:positionV relativeFrom="paragraph">
            <wp:posOffset>-447040</wp:posOffset>
          </wp:positionV>
          <wp:extent cx="7560310" cy="10676255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2058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4DDF"/>
    <w:rsid w:val="00086ABB"/>
    <w:rsid w:val="00097520"/>
    <w:rsid w:val="000A40D6"/>
    <w:rsid w:val="000B5F3B"/>
    <w:rsid w:val="000C3C5A"/>
    <w:rsid w:val="000D1498"/>
    <w:rsid w:val="000D2A17"/>
    <w:rsid w:val="000D7055"/>
    <w:rsid w:val="000E2858"/>
    <w:rsid w:val="000E549D"/>
    <w:rsid w:val="000F7E1E"/>
    <w:rsid w:val="001009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741B8"/>
    <w:rsid w:val="001819EF"/>
    <w:rsid w:val="00187D75"/>
    <w:rsid w:val="00191954"/>
    <w:rsid w:val="00192B06"/>
    <w:rsid w:val="00192F24"/>
    <w:rsid w:val="00196112"/>
    <w:rsid w:val="0019614F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28EC"/>
    <w:rsid w:val="001E3929"/>
    <w:rsid w:val="001F0A16"/>
    <w:rsid w:val="001F43D1"/>
    <w:rsid w:val="002059E3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2BB3"/>
    <w:rsid w:val="002A4C4C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4514B"/>
    <w:rsid w:val="00350D2E"/>
    <w:rsid w:val="00350EC8"/>
    <w:rsid w:val="00350F15"/>
    <w:rsid w:val="00352C4E"/>
    <w:rsid w:val="003574DE"/>
    <w:rsid w:val="003616E4"/>
    <w:rsid w:val="0036535D"/>
    <w:rsid w:val="003731AE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2757"/>
    <w:rsid w:val="003C5D12"/>
    <w:rsid w:val="003D78B8"/>
    <w:rsid w:val="003E02BD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04F0"/>
    <w:rsid w:val="0044243A"/>
    <w:rsid w:val="0044504B"/>
    <w:rsid w:val="004567A9"/>
    <w:rsid w:val="0046056D"/>
    <w:rsid w:val="00467F53"/>
    <w:rsid w:val="004700BF"/>
    <w:rsid w:val="00483120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E768B"/>
    <w:rsid w:val="004F1495"/>
    <w:rsid w:val="004F7FC5"/>
    <w:rsid w:val="00503762"/>
    <w:rsid w:val="00503957"/>
    <w:rsid w:val="00503E18"/>
    <w:rsid w:val="0050405E"/>
    <w:rsid w:val="005041A8"/>
    <w:rsid w:val="00506FD4"/>
    <w:rsid w:val="005112CA"/>
    <w:rsid w:val="00512503"/>
    <w:rsid w:val="00512794"/>
    <w:rsid w:val="00513993"/>
    <w:rsid w:val="00520E15"/>
    <w:rsid w:val="00535932"/>
    <w:rsid w:val="00545C25"/>
    <w:rsid w:val="0055534A"/>
    <w:rsid w:val="005561A8"/>
    <w:rsid w:val="00565DB3"/>
    <w:rsid w:val="00570188"/>
    <w:rsid w:val="00574E0A"/>
    <w:rsid w:val="00575C13"/>
    <w:rsid w:val="005765FB"/>
    <w:rsid w:val="005822E6"/>
    <w:rsid w:val="00590B77"/>
    <w:rsid w:val="0059473E"/>
    <w:rsid w:val="00597476"/>
    <w:rsid w:val="00597963"/>
    <w:rsid w:val="005A0DF0"/>
    <w:rsid w:val="005A35FB"/>
    <w:rsid w:val="005A45F4"/>
    <w:rsid w:val="005A6777"/>
    <w:rsid w:val="005A698F"/>
    <w:rsid w:val="005A7C1A"/>
    <w:rsid w:val="005B29EB"/>
    <w:rsid w:val="005B61E7"/>
    <w:rsid w:val="005D10F9"/>
    <w:rsid w:val="005E01EA"/>
    <w:rsid w:val="005E0643"/>
    <w:rsid w:val="005E1D73"/>
    <w:rsid w:val="005E6B98"/>
    <w:rsid w:val="005E70AE"/>
    <w:rsid w:val="0060320E"/>
    <w:rsid w:val="0061653E"/>
    <w:rsid w:val="00621E51"/>
    <w:rsid w:val="00622326"/>
    <w:rsid w:val="006379A3"/>
    <w:rsid w:val="006433C9"/>
    <w:rsid w:val="0065073A"/>
    <w:rsid w:val="00674484"/>
    <w:rsid w:val="006747CD"/>
    <w:rsid w:val="006764A2"/>
    <w:rsid w:val="00676CAD"/>
    <w:rsid w:val="00681E65"/>
    <w:rsid w:val="00687E3E"/>
    <w:rsid w:val="0069345B"/>
    <w:rsid w:val="006940A7"/>
    <w:rsid w:val="006956C9"/>
    <w:rsid w:val="006A188C"/>
    <w:rsid w:val="006A38D5"/>
    <w:rsid w:val="006A5E76"/>
    <w:rsid w:val="006B4344"/>
    <w:rsid w:val="006B55C8"/>
    <w:rsid w:val="006C486F"/>
    <w:rsid w:val="006C4B11"/>
    <w:rsid w:val="006C6E91"/>
    <w:rsid w:val="006D4FA2"/>
    <w:rsid w:val="006E245F"/>
    <w:rsid w:val="006E26DB"/>
    <w:rsid w:val="006E4921"/>
    <w:rsid w:val="006F4F6B"/>
    <w:rsid w:val="007002E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503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17F6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1C94"/>
    <w:rsid w:val="008A31D5"/>
    <w:rsid w:val="008A3BBD"/>
    <w:rsid w:val="008B2189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365F"/>
    <w:rsid w:val="00917CEA"/>
    <w:rsid w:val="00920916"/>
    <w:rsid w:val="00926473"/>
    <w:rsid w:val="00927E3B"/>
    <w:rsid w:val="00932A48"/>
    <w:rsid w:val="00936493"/>
    <w:rsid w:val="009368D1"/>
    <w:rsid w:val="00937B22"/>
    <w:rsid w:val="00942562"/>
    <w:rsid w:val="00956486"/>
    <w:rsid w:val="0095767D"/>
    <w:rsid w:val="00957C2C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A7E3D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94A30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4ED"/>
    <w:rsid w:val="00AF369E"/>
    <w:rsid w:val="00AF6326"/>
    <w:rsid w:val="00AF7B16"/>
    <w:rsid w:val="00B030F7"/>
    <w:rsid w:val="00B154BA"/>
    <w:rsid w:val="00B20DAA"/>
    <w:rsid w:val="00B22182"/>
    <w:rsid w:val="00B22E7C"/>
    <w:rsid w:val="00B23C35"/>
    <w:rsid w:val="00B23FB1"/>
    <w:rsid w:val="00B243E8"/>
    <w:rsid w:val="00B3447A"/>
    <w:rsid w:val="00B41AAB"/>
    <w:rsid w:val="00B424FB"/>
    <w:rsid w:val="00B466F1"/>
    <w:rsid w:val="00B468B8"/>
    <w:rsid w:val="00B501C7"/>
    <w:rsid w:val="00B60F34"/>
    <w:rsid w:val="00B64A0D"/>
    <w:rsid w:val="00B70E08"/>
    <w:rsid w:val="00B70FA3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0660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3312D"/>
    <w:rsid w:val="00C40853"/>
    <w:rsid w:val="00C41089"/>
    <w:rsid w:val="00C50A6B"/>
    <w:rsid w:val="00C5197E"/>
    <w:rsid w:val="00C51D1E"/>
    <w:rsid w:val="00C6007C"/>
    <w:rsid w:val="00C604D1"/>
    <w:rsid w:val="00C62CC9"/>
    <w:rsid w:val="00C6464C"/>
    <w:rsid w:val="00C67FAE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2699"/>
    <w:rsid w:val="00CB314D"/>
    <w:rsid w:val="00CB5493"/>
    <w:rsid w:val="00CB65B9"/>
    <w:rsid w:val="00CC509D"/>
    <w:rsid w:val="00CC6482"/>
    <w:rsid w:val="00CC7204"/>
    <w:rsid w:val="00CD3729"/>
    <w:rsid w:val="00CD59B5"/>
    <w:rsid w:val="00CD79CD"/>
    <w:rsid w:val="00CE2013"/>
    <w:rsid w:val="00CF240F"/>
    <w:rsid w:val="00CF2FB5"/>
    <w:rsid w:val="00CF4D28"/>
    <w:rsid w:val="00CF5D45"/>
    <w:rsid w:val="00CF6C14"/>
    <w:rsid w:val="00D01C4C"/>
    <w:rsid w:val="00D039B5"/>
    <w:rsid w:val="00D04823"/>
    <w:rsid w:val="00D109E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059"/>
    <w:rsid w:val="00DE72CA"/>
    <w:rsid w:val="00DE7FB8"/>
    <w:rsid w:val="00DF0B6A"/>
    <w:rsid w:val="00DF35BB"/>
    <w:rsid w:val="00DF67ED"/>
    <w:rsid w:val="00E017C2"/>
    <w:rsid w:val="00E050F4"/>
    <w:rsid w:val="00E05517"/>
    <w:rsid w:val="00E214CF"/>
    <w:rsid w:val="00E271E8"/>
    <w:rsid w:val="00E30809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B6391"/>
    <w:rsid w:val="00EC4E8F"/>
    <w:rsid w:val="00EC6341"/>
    <w:rsid w:val="00ED17E0"/>
    <w:rsid w:val="00EE296E"/>
    <w:rsid w:val="00EE32AF"/>
    <w:rsid w:val="00EF3962"/>
    <w:rsid w:val="00EF7F2F"/>
    <w:rsid w:val="00F023B0"/>
    <w:rsid w:val="00F025FF"/>
    <w:rsid w:val="00F125FD"/>
    <w:rsid w:val="00F15C89"/>
    <w:rsid w:val="00F1614D"/>
    <w:rsid w:val="00F16B69"/>
    <w:rsid w:val="00F16D73"/>
    <w:rsid w:val="00F17F64"/>
    <w:rsid w:val="00F219D7"/>
    <w:rsid w:val="00F24B6E"/>
    <w:rsid w:val="00F32C90"/>
    <w:rsid w:val="00F36BB6"/>
    <w:rsid w:val="00F4201A"/>
    <w:rsid w:val="00F43BE4"/>
    <w:rsid w:val="00F47F00"/>
    <w:rsid w:val="00F54585"/>
    <w:rsid w:val="00F56B01"/>
    <w:rsid w:val="00F63B35"/>
    <w:rsid w:val="00F90889"/>
    <w:rsid w:val="00FA4C9D"/>
    <w:rsid w:val="00FB1763"/>
    <w:rsid w:val="00FB2A84"/>
    <w:rsid w:val="00FB4F57"/>
    <w:rsid w:val="00FC4A4D"/>
    <w:rsid w:val="00FD0CE9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F2E9E"/>
  <w15:docId w15:val="{BDBAF982-FD22-4068-9646-3FBBB23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>, docId:4B54B5B7D36EC57FD090828749325358</cp:keywords>
  <cp:lastModifiedBy>Patrizia Menicucci</cp:lastModifiedBy>
  <cp:revision>2</cp:revision>
  <cp:lastPrinted>2022-04-14T12:06:00Z</cp:lastPrinted>
  <dcterms:created xsi:type="dcterms:W3CDTF">2022-08-23T05:55:00Z</dcterms:created>
  <dcterms:modified xsi:type="dcterms:W3CDTF">2022-08-23T05:55:00Z</dcterms:modified>
</cp:coreProperties>
</file>