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8BDF" w14:textId="5FB8B91C" w:rsidR="00E445E5" w:rsidRDefault="00E445E5" w:rsidP="006379A3">
      <w:pPr>
        <w:ind w:left="2127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Comunicato stampa</w:t>
      </w:r>
    </w:p>
    <w:p w14:paraId="563427D0" w14:textId="77777777" w:rsidR="00565DB3" w:rsidRPr="00D427F4" w:rsidRDefault="00565DB3" w:rsidP="00565DB3">
      <w:pPr>
        <w:ind w:left="2127"/>
        <w:jc w:val="both"/>
        <w:rPr>
          <w:b/>
          <w:bCs/>
          <w:sz w:val="28"/>
          <w:szCs w:val="28"/>
        </w:rPr>
      </w:pPr>
      <w:r w:rsidRPr="00D427F4">
        <w:rPr>
          <w:b/>
          <w:bCs/>
          <w:sz w:val="28"/>
          <w:szCs w:val="28"/>
        </w:rPr>
        <w:t>Produzione in crescita, ma pesa la variabile “costi”</w:t>
      </w:r>
    </w:p>
    <w:p w14:paraId="29E83D4A" w14:textId="77777777" w:rsidR="00565DB3" w:rsidRPr="00DE794D" w:rsidRDefault="00565DB3" w:rsidP="00565DB3">
      <w:pPr>
        <w:ind w:left="2127"/>
        <w:jc w:val="both"/>
        <w:rPr>
          <w:b/>
          <w:bCs/>
        </w:rPr>
      </w:pPr>
    </w:p>
    <w:p w14:paraId="4D841AD8" w14:textId="77777777" w:rsidR="00565DB3" w:rsidRPr="00D427F4" w:rsidRDefault="00565DB3" w:rsidP="00565DB3">
      <w:pPr>
        <w:ind w:left="2127"/>
        <w:jc w:val="both"/>
        <w:rPr>
          <w:b/>
          <w:bCs/>
          <w:i/>
          <w:iCs/>
        </w:rPr>
      </w:pPr>
      <w:r w:rsidRPr="00D427F4">
        <w:rPr>
          <w:b/>
          <w:bCs/>
          <w:i/>
          <w:iCs/>
        </w:rPr>
        <w:t xml:space="preserve">Il valore della produzione italiana di macchinari per l’agricoltura, la cura del verde e la relativa componentistica cresce nel 2021 e si attesta sui 13,7 miliardi di euro. A spingere la produzione made in </w:t>
      </w:r>
      <w:proofErr w:type="spellStart"/>
      <w:r w:rsidRPr="00D427F4">
        <w:rPr>
          <w:b/>
          <w:bCs/>
          <w:i/>
          <w:iCs/>
        </w:rPr>
        <w:t>Italy</w:t>
      </w:r>
      <w:proofErr w:type="spellEnd"/>
      <w:r w:rsidRPr="00D427F4">
        <w:rPr>
          <w:b/>
          <w:bCs/>
          <w:i/>
          <w:iCs/>
        </w:rPr>
        <w:t xml:space="preserve"> è in buona parte la domanda estera, che comporta una crescita delle nostre esportazioni del 20,5% nel 2021, e del 9,7% nel primo trimestre di quest’anno. L’impennata dei costi di produzione, tuttavia, rischia di rallentare gli attuali ritmi produttivi e di incidere anche sui prezzi di listino dei macchinari in commercio.</w:t>
      </w:r>
    </w:p>
    <w:p w14:paraId="6006BDF0" w14:textId="77777777" w:rsidR="00565DB3" w:rsidRPr="00D427F4" w:rsidRDefault="00565DB3" w:rsidP="00565DB3">
      <w:pPr>
        <w:ind w:left="2127"/>
        <w:jc w:val="both"/>
        <w:rPr>
          <w:i/>
          <w:iCs/>
        </w:rPr>
      </w:pPr>
    </w:p>
    <w:p w14:paraId="7DB1887C" w14:textId="28BFB323" w:rsidR="00565DB3" w:rsidRDefault="00565DB3" w:rsidP="00565DB3">
      <w:pPr>
        <w:ind w:left="2127"/>
        <w:jc w:val="both"/>
      </w:pPr>
      <w:r>
        <w:t xml:space="preserve">Produzione in crescita nel 2021 per l’industria italiana delle macchine agricole. Le trattrici “made in </w:t>
      </w:r>
      <w:proofErr w:type="spellStart"/>
      <w:r>
        <w:t>Italy</w:t>
      </w:r>
      <w:proofErr w:type="spellEnd"/>
      <w:r>
        <w:t>” chiudono l’anno con un totale di 59 mila unità prodotte, per un valore di 2,1 miliardi di euro e un incremento del 18,7% rispetto al 2020, mentre le attrezzature e le altre tipologie di macchine agricole vedono salire il valore della produzione a 6,</w:t>
      </w:r>
      <w:r w:rsidR="004567A9">
        <w:t>2</w:t>
      </w:r>
      <w:r>
        <w:t xml:space="preserve"> miliardi di euro (+19,9%). Il segmento </w:t>
      </w:r>
      <w:r w:rsidR="00740EF0">
        <w:t>di produzione relativo alle “</w:t>
      </w:r>
      <w:r>
        <w:t>parti di trattrici</w:t>
      </w:r>
      <w:r w:rsidR="00740EF0">
        <w:t>”</w:t>
      </w:r>
      <w:r>
        <w:t xml:space="preserve"> e </w:t>
      </w:r>
      <w:r w:rsidR="00740EF0">
        <w:t>“</w:t>
      </w:r>
      <w:r>
        <w:t>ricambi</w:t>
      </w:r>
      <w:r w:rsidR="00740EF0">
        <w:t>”</w:t>
      </w:r>
      <w:r>
        <w:t xml:space="preserve"> segna anch’esso una crescita consistente (+21%) e supera quota 1,1 miliardi. </w:t>
      </w:r>
      <w:r w:rsidR="00740EF0">
        <w:t xml:space="preserve">Aggiungendo a questi dati quelli relativi all’ampio comparto </w:t>
      </w:r>
      <w:r>
        <w:t xml:space="preserve">della componentistica di settore, che si stima abbia raggiunto </w:t>
      </w:r>
      <w:r w:rsidR="00740EF0">
        <w:t xml:space="preserve">nell’anno </w:t>
      </w:r>
      <w:r>
        <w:t>un valore di 3,3 miliardi di euro, e quell</w:t>
      </w:r>
      <w:r w:rsidR="00740EF0">
        <w:t>i</w:t>
      </w:r>
      <w:r>
        <w:t xml:space="preserve"> relativ</w:t>
      </w:r>
      <w:r w:rsidR="00740EF0">
        <w:t>i</w:t>
      </w:r>
      <w:r>
        <w:t xml:space="preserve"> alle macchine e attrezzature per il giardinaggio (970 milioni), il valore complessivo della produzione del settore </w:t>
      </w:r>
      <w:proofErr w:type="spellStart"/>
      <w:r>
        <w:t>agromeccanico</w:t>
      </w:r>
      <w:proofErr w:type="spellEnd"/>
      <w:r>
        <w:t xml:space="preserve"> italiano nel 2021 si attesta sui 13,7 miliardi di euro. </w:t>
      </w:r>
    </w:p>
    <w:p w14:paraId="1ECDF742" w14:textId="5BB2A353" w:rsidR="00565DB3" w:rsidRDefault="00565DB3" w:rsidP="00565DB3">
      <w:pPr>
        <w:ind w:left="2127"/>
        <w:jc w:val="both"/>
      </w:pPr>
      <w:r>
        <w:t xml:space="preserve">Circa il 30% della produzione nazionale – è stato spiegato nel corso dell’assemblea annuale </w:t>
      </w:r>
      <w:proofErr w:type="spellStart"/>
      <w:r>
        <w:t>FederUnacoma</w:t>
      </w:r>
      <w:proofErr w:type="spellEnd"/>
      <w:r>
        <w:t xml:space="preserve"> che si è tenuta questo pomeriggio a </w:t>
      </w:r>
      <w:proofErr w:type="spellStart"/>
      <w:r>
        <w:t>Varignana</w:t>
      </w:r>
      <w:proofErr w:type="spellEnd"/>
      <w:r>
        <w:t xml:space="preserve"> (Bologna) – viene assorbito dal mercato interno, che lo scorso anno ha avuto un andamento particolarmente positivo, mentre una quota maggioritaria, pari a circa il 70% del totale, è destinata a soddisfare la domanda proveniente dai mercati esteri. </w:t>
      </w:r>
      <w:r w:rsidRPr="0018009F">
        <w:t xml:space="preserve">I dati Istat sul commercio estero </w:t>
      </w:r>
      <w:r>
        <w:t>(</w:t>
      </w:r>
      <w:r w:rsidRPr="0018009F">
        <w:t>riferiti alle categorie trattrici, parti di trattrici e macchine agricole</w:t>
      </w:r>
      <w:r>
        <w:t>)</w:t>
      </w:r>
      <w:r w:rsidRPr="0018009F">
        <w:t xml:space="preserve"> indicano </w:t>
      </w:r>
      <w:r>
        <w:t xml:space="preserve">infatti </w:t>
      </w:r>
      <w:r w:rsidRPr="0018009F">
        <w:t>a fine 2021 un</w:t>
      </w:r>
      <w:r>
        <w:t xml:space="preserve"> </w:t>
      </w:r>
      <w:r w:rsidRPr="0018009F">
        <w:t xml:space="preserve">valore delle nostre esportazioni </w:t>
      </w:r>
      <w:r>
        <w:t xml:space="preserve">che supera i </w:t>
      </w:r>
      <w:r w:rsidRPr="0018009F">
        <w:t>6,2 miliardi di eur</w:t>
      </w:r>
      <w:r>
        <w:t>o</w:t>
      </w:r>
      <w:r w:rsidRPr="0018009F">
        <w:t xml:space="preserve"> </w:t>
      </w:r>
      <w:r>
        <w:t xml:space="preserve">(+ </w:t>
      </w:r>
      <w:r w:rsidRPr="0018009F">
        <w:t>20,5% rispetto all’anno precedente</w:t>
      </w:r>
      <w:r>
        <w:t xml:space="preserve">) mantenendo </w:t>
      </w:r>
      <w:r w:rsidR="0086348D">
        <w:t xml:space="preserve">un attivo della bilancia commerciale di settore </w:t>
      </w:r>
      <w:r>
        <w:t>di 4,4 miliardi</w:t>
      </w:r>
      <w:r w:rsidR="0086348D">
        <w:t xml:space="preserve">. </w:t>
      </w:r>
      <w:r w:rsidRPr="0018009F">
        <w:t xml:space="preserve">Trattrici e macchinari agricoli prodotti in Italia </w:t>
      </w:r>
      <w:r w:rsidR="004567A9">
        <w:t>-</w:t>
      </w:r>
      <w:r>
        <w:t xml:space="preserve"> è stato ricordato nel corso dell’incontro - </w:t>
      </w:r>
      <w:r w:rsidRPr="0018009F">
        <w:t xml:space="preserve">vengono esportati in massima parte nei Paesi dell’Unione Europea (il 66% dell’export di trattrici e il 50% dell’export delle altre macchine) e una quota consistente viene indirizzata verso i Paesi dell’Europa non comunitaria (12% della voce trattrici e 15% delle </w:t>
      </w:r>
      <w:r>
        <w:t xml:space="preserve">voci relative alle </w:t>
      </w:r>
      <w:r w:rsidRPr="0018009F">
        <w:t xml:space="preserve">altre </w:t>
      </w:r>
      <w:r>
        <w:t xml:space="preserve">tipologie di </w:t>
      </w:r>
      <w:r w:rsidRPr="0018009F">
        <w:t>macchine)</w:t>
      </w:r>
      <w:r>
        <w:t>. F</w:t>
      </w:r>
      <w:r w:rsidRPr="0018009F">
        <w:t xml:space="preserve">uori dal continente il principale </w:t>
      </w:r>
      <w:r>
        <w:t>mercato di</w:t>
      </w:r>
      <w:r w:rsidRPr="0018009F">
        <w:t xml:space="preserve"> destinazione restano gli USA, che assorbono il 7,5% delle nostre esportazioni di trattrici, e il 12,7% dell’export di altre macchine e attrezzature agricole.</w:t>
      </w:r>
      <w:r>
        <w:t xml:space="preserve"> </w:t>
      </w:r>
      <w:r w:rsidRPr="0018009F">
        <w:t>Il buon andamento del 2021 è proseguito anche nei primi mesi dell’anno in corso</w:t>
      </w:r>
      <w:r>
        <w:t xml:space="preserve"> giacché il</w:t>
      </w:r>
      <w:r w:rsidRPr="0018009F">
        <w:t xml:space="preserve"> lieve calo avutosi nell’export di trattrici</w:t>
      </w:r>
      <w:proofErr w:type="gramStart"/>
      <w:r w:rsidR="000F576F">
        <w:t xml:space="preserve">  </w:t>
      </w:r>
      <w:bookmarkStart w:id="0" w:name="_GoBack"/>
      <w:bookmarkEnd w:id="0"/>
      <w:r w:rsidRPr="0018009F">
        <w:t xml:space="preserve"> (</w:t>
      </w:r>
      <w:proofErr w:type="gramEnd"/>
      <w:r w:rsidRPr="0018009F">
        <w:t xml:space="preserve">-3,14% in valore) è </w:t>
      </w:r>
      <w:r>
        <w:t xml:space="preserve">stato </w:t>
      </w:r>
      <w:r w:rsidRPr="0018009F">
        <w:t xml:space="preserve">compensato dall’incremento registrato per le altre tipologie di macchine (+15% in valore), </w:t>
      </w:r>
      <w:r>
        <w:t xml:space="preserve">così da </w:t>
      </w:r>
      <w:r w:rsidR="00710BB8">
        <w:t xml:space="preserve">determinare </w:t>
      </w:r>
      <w:r>
        <w:t>nel p</w:t>
      </w:r>
      <w:r w:rsidRPr="0018009F">
        <w:t>rimo trimestre</w:t>
      </w:r>
      <w:r>
        <w:t xml:space="preserve"> 2022 una crescita complessiva delle nostre esportazioni del </w:t>
      </w:r>
      <w:r w:rsidRPr="0018009F">
        <w:t>9,72%</w:t>
      </w:r>
      <w:r>
        <w:t xml:space="preserve"> rispetto allo stesso periodo del 2021</w:t>
      </w:r>
      <w:r w:rsidRPr="0018009F">
        <w:t>.</w:t>
      </w:r>
    </w:p>
    <w:p w14:paraId="0B09E4D4" w14:textId="4CC603C2" w:rsidR="00012AE2" w:rsidRDefault="00565DB3" w:rsidP="004567A9">
      <w:pPr>
        <w:ind w:left="2127"/>
        <w:jc w:val="both"/>
      </w:pPr>
      <w:r>
        <w:t xml:space="preserve">In uno scenario caratterizzato da un’elevata domanda di macchinario agricolo pesano tuttavia le variabili relative ai costi di produzione, sempre più alti per l’impennata delle forniture energetiche, delle materie prime ferrose e dei materiali plastici. Da aprile 2021 ad oggi </w:t>
      </w:r>
      <w:r w:rsidR="004567A9">
        <w:t>-</w:t>
      </w:r>
      <w:r>
        <w:t xml:space="preserve"> è stato ricordato nel corso dell’Assemblea - l</w:t>
      </w:r>
      <w:r w:rsidRPr="0018009F">
        <w:t xml:space="preserve">’indice dei prezzi delle materie prime </w:t>
      </w:r>
      <w:r>
        <w:t xml:space="preserve">ha </w:t>
      </w:r>
      <w:r w:rsidRPr="0018009F">
        <w:t>registra</w:t>
      </w:r>
      <w:r>
        <w:t>to</w:t>
      </w:r>
      <w:r w:rsidRPr="0018009F">
        <w:t xml:space="preserve"> un incremento </w:t>
      </w:r>
      <w:r>
        <w:t xml:space="preserve">complessivo imponente (+72%), e in netta </w:t>
      </w:r>
      <w:r>
        <w:lastRenderedPageBreak/>
        <w:t xml:space="preserve">crescita risultano anche i costi della produzione agricola. </w:t>
      </w:r>
      <w:r w:rsidR="00710BB8">
        <w:t>“</w:t>
      </w:r>
      <w:r>
        <w:t xml:space="preserve">Anche se </w:t>
      </w:r>
      <w:r w:rsidR="00710BB8">
        <w:t xml:space="preserve">i prezzi </w:t>
      </w:r>
      <w:r>
        <w:t xml:space="preserve">delle derrate agricole </w:t>
      </w:r>
      <w:r w:rsidR="00710BB8">
        <w:t xml:space="preserve">sono </w:t>
      </w:r>
      <w:r>
        <w:t>cresciut</w:t>
      </w:r>
      <w:r w:rsidR="00710BB8">
        <w:t>i</w:t>
      </w:r>
      <w:r>
        <w:t xml:space="preserve"> in questi mesi andando a compensare</w:t>
      </w:r>
      <w:r w:rsidR="00710BB8">
        <w:t>,</w:t>
      </w:r>
      <w:r>
        <w:t xml:space="preserve"> in una certa misura</w:t>
      </w:r>
      <w:r w:rsidR="00710BB8">
        <w:t>,</w:t>
      </w:r>
      <w:r>
        <w:t xml:space="preserve"> l’aumento dei costi </w:t>
      </w:r>
      <w:r w:rsidR="00710BB8">
        <w:t xml:space="preserve">di produzione agricola </w:t>
      </w:r>
      <w:r>
        <w:t xml:space="preserve">- ha </w:t>
      </w:r>
      <w:r w:rsidR="00710BB8">
        <w:t xml:space="preserve">commentato </w:t>
      </w:r>
      <w:r>
        <w:t xml:space="preserve">il Presidente </w:t>
      </w:r>
      <w:r w:rsidR="00710BB8">
        <w:t xml:space="preserve">di </w:t>
      </w:r>
      <w:proofErr w:type="spellStart"/>
      <w:r w:rsidR="00710BB8">
        <w:t>FederUnacoma</w:t>
      </w:r>
      <w:proofErr w:type="spellEnd"/>
      <w:r w:rsidR="00710BB8">
        <w:t xml:space="preserve"> Alessandro </w:t>
      </w:r>
      <w:proofErr w:type="spellStart"/>
      <w:r>
        <w:t>Malavolti</w:t>
      </w:r>
      <w:proofErr w:type="spellEnd"/>
      <w:r>
        <w:t xml:space="preserve"> </w:t>
      </w:r>
      <w:r w:rsidR="00710BB8">
        <w:t xml:space="preserve">nel suo intervento all’Assemblea - </w:t>
      </w:r>
      <w:r>
        <w:t xml:space="preserve">i rincari minacciano </w:t>
      </w:r>
      <w:r w:rsidR="002D7030">
        <w:t xml:space="preserve">comunque di </w:t>
      </w:r>
      <w:r>
        <w:t>danneggiare il mercato d</w:t>
      </w:r>
      <w:r w:rsidR="002D7030">
        <w:t>ell</w:t>
      </w:r>
      <w:r w:rsidR="00012AE2">
        <w:t xml:space="preserve">e </w:t>
      </w:r>
      <w:r w:rsidR="002D7030">
        <w:t>m</w:t>
      </w:r>
      <w:r w:rsidR="00012AE2">
        <w:t>acchine</w:t>
      </w:r>
      <w:r w:rsidR="002D7030">
        <w:t xml:space="preserve">: </w:t>
      </w:r>
      <w:r w:rsidR="00012AE2">
        <w:t xml:space="preserve">nel corso dell’anno </w:t>
      </w:r>
      <w:r w:rsidR="002D7030">
        <w:t>le aziende agricole potrebbe</w:t>
      </w:r>
      <w:r w:rsidR="00012AE2">
        <w:t>ro</w:t>
      </w:r>
      <w:r w:rsidR="002D7030">
        <w:t xml:space="preserve"> avere meno margini per investire nell’acquisto di </w:t>
      </w:r>
      <w:r w:rsidR="00012AE2">
        <w:t xml:space="preserve">mezzi nuovi, </w:t>
      </w:r>
      <w:r w:rsidR="002D7030">
        <w:t xml:space="preserve">e nello stesso tempo l’industria potrebbe essere costretta a ritoccare i listini </w:t>
      </w:r>
      <w:r w:rsidR="00012AE2">
        <w:t xml:space="preserve">per assorbire </w:t>
      </w:r>
      <w:r w:rsidR="009C12B3">
        <w:t xml:space="preserve">il consistente </w:t>
      </w:r>
      <w:r w:rsidR="00012AE2">
        <w:t>aumento dei propri costi di produzione”.</w:t>
      </w:r>
    </w:p>
    <w:p w14:paraId="36E2E538" w14:textId="39806059" w:rsidR="00565DB3" w:rsidRDefault="00565DB3" w:rsidP="006379A3">
      <w:pPr>
        <w:ind w:left="2127"/>
        <w:jc w:val="both"/>
        <w:rPr>
          <w:i/>
          <w:sz w:val="25"/>
          <w:szCs w:val="25"/>
        </w:rPr>
      </w:pPr>
    </w:p>
    <w:p w14:paraId="0CFD095B" w14:textId="59818936" w:rsidR="00565DB3" w:rsidRDefault="00565DB3" w:rsidP="006379A3">
      <w:pPr>
        <w:ind w:left="2127"/>
        <w:jc w:val="both"/>
        <w:rPr>
          <w:b/>
          <w:bCs/>
          <w:iCs/>
          <w:sz w:val="25"/>
          <w:szCs w:val="25"/>
        </w:rPr>
      </w:pPr>
      <w:proofErr w:type="spellStart"/>
      <w:r w:rsidRPr="00565DB3">
        <w:rPr>
          <w:b/>
          <w:bCs/>
          <w:iCs/>
          <w:sz w:val="25"/>
          <w:szCs w:val="25"/>
        </w:rPr>
        <w:t>Varignana</w:t>
      </w:r>
      <w:proofErr w:type="spellEnd"/>
      <w:r w:rsidRPr="00565DB3">
        <w:rPr>
          <w:b/>
          <w:bCs/>
          <w:iCs/>
          <w:sz w:val="25"/>
          <w:szCs w:val="25"/>
        </w:rPr>
        <w:t xml:space="preserve"> (BO), 28 giugno 2022</w:t>
      </w:r>
    </w:p>
    <w:p w14:paraId="5979B388" w14:textId="0AF84146" w:rsidR="00EC7238" w:rsidRDefault="00EC7238" w:rsidP="006379A3">
      <w:pPr>
        <w:ind w:left="2127"/>
        <w:jc w:val="both"/>
        <w:rPr>
          <w:b/>
          <w:bCs/>
          <w:iCs/>
          <w:sz w:val="25"/>
          <w:szCs w:val="25"/>
        </w:rPr>
      </w:pPr>
    </w:p>
    <w:p w14:paraId="70ECD685" w14:textId="77777777" w:rsidR="00EC7238" w:rsidRDefault="00EC7238" w:rsidP="006379A3">
      <w:pPr>
        <w:ind w:left="2127"/>
        <w:jc w:val="both"/>
        <w:rPr>
          <w:b/>
          <w:bCs/>
          <w:iCs/>
          <w:sz w:val="25"/>
          <w:szCs w:val="25"/>
        </w:rPr>
      </w:pPr>
    </w:p>
    <w:p w14:paraId="4ED522EE" w14:textId="72EA6935" w:rsidR="00EC7238" w:rsidRDefault="00EC7238" w:rsidP="006379A3">
      <w:pPr>
        <w:ind w:left="2127"/>
        <w:jc w:val="both"/>
        <w:rPr>
          <w:b/>
          <w:bCs/>
          <w:iCs/>
          <w:sz w:val="25"/>
          <w:szCs w:val="25"/>
        </w:rPr>
      </w:pPr>
    </w:p>
    <w:p w14:paraId="32E270D8" w14:textId="3857CD10" w:rsidR="0025180B" w:rsidRPr="00EC7238" w:rsidRDefault="00EC7238" w:rsidP="00EC7238">
      <w:pPr>
        <w:ind w:left="2127"/>
        <w:rPr>
          <w:b/>
          <w:bCs/>
          <w:iCs/>
          <w:sz w:val="25"/>
          <w:szCs w:val="25"/>
        </w:rPr>
      </w:pPr>
      <w:r w:rsidRPr="00EC7238">
        <w:rPr>
          <w:b/>
          <w:bCs/>
          <w:iCs/>
          <w:noProof/>
          <w:sz w:val="25"/>
          <w:szCs w:val="25"/>
        </w:rPr>
        <w:lastRenderedPageBreak/>
        <w:drawing>
          <wp:inline distT="0" distB="0" distL="0" distR="0" wp14:anchorId="601D86C2" wp14:editId="6A00D7BB">
            <wp:extent cx="5262650" cy="629666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81" cy="630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80B" w:rsidRPr="00EC7238" w:rsidSect="002209C1">
      <w:headerReference w:type="default" r:id="rId8"/>
      <w:footerReference w:type="default" r:id="rId9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601FF" w14:textId="77777777" w:rsidR="002D5D03" w:rsidRDefault="002D5D03">
      <w:r>
        <w:separator/>
      </w:r>
    </w:p>
  </w:endnote>
  <w:endnote w:type="continuationSeparator" w:id="0">
    <w:p w14:paraId="3F27E6C8" w14:textId="77777777" w:rsidR="002D5D03" w:rsidRDefault="002D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2382" w14:textId="4AEB693E" w:rsidR="00CB2699" w:rsidRDefault="00CB269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F576F" w:rsidRPr="000F576F">
      <w:rPr>
        <w:noProof/>
        <w:lang w:val="it-IT"/>
      </w:rPr>
      <w:t>3</w:t>
    </w:r>
    <w:r>
      <w:fldChar w:fldCharType="end"/>
    </w:r>
  </w:p>
  <w:p w14:paraId="56622012" w14:textId="77777777" w:rsidR="00CB2699" w:rsidRDefault="00CB26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92A0" w14:textId="77777777" w:rsidR="002D5D03" w:rsidRDefault="002D5D03">
      <w:r>
        <w:separator/>
      </w:r>
    </w:p>
  </w:footnote>
  <w:footnote w:type="continuationSeparator" w:id="0">
    <w:p w14:paraId="17A60A94" w14:textId="77777777" w:rsidR="002D5D03" w:rsidRDefault="002D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EC7D" w14:textId="02FF2AE3" w:rsidR="00CB2699" w:rsidRDefault="00CB2699" w:rsidP="00066D7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DC445" wp14:editId="6BA4A3AA">
          <wp:simplePos x="0" y="0"/>
          <wp:positionH relativeFrom="margin">
            <wp:posOffset>-821055</wp:posOffset>
          </wp:positionH>
          <wp:positionV relativeFrom="paragraph">
            <wp:posOffset>-447040</wp:posOffset>
          </wp:positionV>
          <wp:extent cx="7560310" cy="10676255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2D"/>
    <w:rsid w:val="00001397"/>
    <w:rsid w:val="00003527"/>
    <w:rsid w:val="00012AE2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D7055"/>
    <w:rsid w:val="000E2858"/>
    <w:rsid w:val="000E549D"/>
    <w:rsid w:val="000F576F"/>
    <w:rsid w:val="000F7E1E"/>
    <w:rsid w:val="001009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5309"/>
    <w:rsid w:val="001741B8"/>
    <w:rsid w:val="001819EF"/>
    <w:rsid w:val="00187D75"/>
    <w:rsid w:val="00191954"/>
    <w:rsid w:val="00192B06"/>
    <w:rsid w:val="00192F24"/>
    <w:rsid w:val="00196112"/>
    <w:rsid w:val="0019614F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28EC"/>
    <w:rsid w:val="001E3929"/>
    <w:rsid w:val="001F0A16"/>
    <w:rsid w:val="001F43D1"/>
    <w:rsid w:val="002059E3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2BB3"/>
    <w:rsid w:val="002A4C4C"/>
    <w:rsid w:val="002A4FC7"/>
    <w:rsid w:val="002B04DE"/>
    <w:rsid w:val="002B1023"/>
    <w:rsid w:val="002B16D3"/>
    <w:rsid w:val="002B2A92"/>
    <w:rsid w:val="002C076E"/>
    <w:rsid w:val="002D0972"/>
    <w:rsid w:val="002D5D03"/>
    <w:rsid w:val="002D7030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203E"/>
    <w:rsid w:val="0034514B"/>
    <w:rsid w:val="00350EC8"/>
    <w:rsid w:val="00350F15"/>
    <w:rsid w:val="00352C4E"/>
    <w:rsid w:val="003574DE"/>
    <w:rsid w:val="003616E4"/>
    <w:rsid w:val="0036535D"/>
    <w:rsid w:val="003731AE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243A"/>
    <w:rsid w:val="0044504B"/>
    <w:rsid w:val="004567A9"/>
    <w:rsid w:val="00467F53"/>
    <w:rsid w:val="004700BF"/>
    <w:rsid w:val="00482592"/>
    <w:rsid w:val="00483120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E768B"/>
    <w:rsid w:val="004F1495"/>
    <w:rsid w:val="004F7FC5"/>
    <w:rsid w:val="00503762"/>
    <w:rsid w:val="00503957"/>
    <w:rsid w:val="00503E18"/>
    <w:rsid w:val="0050405E"/>
    <w:rsid w:val="005041A8"/>
    <w:rsid w:val="00506FD4"/>
    <w:rsid w:val="005112CA"/>
    <w:rsid w:val="00512503"/>
    <w:rsid w:val="00512794"/>
    <w:rsid w:val="00513993"/>
    <w:rsid w:val="00520E15"/>
    <w:rsid w:val="00535932"/>
    <w:rsid w:val="00545C25"/>
    <w:rsid w:val="0055534A"/>
    <w:rsid w:val="005561A8"/>
    <w:rsid w:val="00565DB3"/>
    <w:rsid w:val="00570188"/>
    <w:rsid w:val="00574E0A"/>
    <w:rsid w:val="00575C13"/>
    <w:rsid w:val="005765FB"/>
    <w:rsid w:val="005822E6"/>
    <w:rsid w:val="00590B77"/>
    <w:rsid w:val="0059473E"/>
    <w:rsid w:val="00597476"/>
    <w:rsid w:val="00597963"/>
    <w:rsid w:val="005A0DF0"/>
    <w:rsid w:val="005A35FB"/>
    <w:rsid w:val="005A45F4"/>
    <w:rsid w:val="005A6777"/>
    <w:rsid w:val="005A698F"/>
    <w:rsid w:val="005A7C1A"/>
    <w:rsid w:val="005B29EB"/>
    <w:rsid w:val="005B61E7"/>
    <w:rsid w:val="005D10F9"/>
    <w:rsid w:val="005E01EA"/>
    <w:rsid w:val="005E0643"/>
    <w:rsid w:val="005E1D73"/>
    <w:rsid w:val="005E6B98"/>
    <w:rsid w:val="005E70AE"/>
    <w:rsid w:val="0060320E"/>
    <w:rsid w:val="0061653E"/>
    <w:rsid w:val="00621E51"/>
    <w:rsid w:val="00622326"/>
    <w:rsid w:val="006379A3"/>
    <w:rsid w:val="006433C9"/>
    <w:rsid w:val="0065073A"/>
    <w:rsid w:val="00674484"/>
    <w:rsid w:val="006747CD"/>
    <w:rsid w:val="006764A2"/>
    <w:rsid w:val="00676CAD"/>
    <w:rsid w:val="00681E65"/>
    <w:rsid w:val="00687E3E"/>
    <w:rsid w:val="0069345B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002EB"/>
    <w:rsid w:val="00710B29"/>
    <w:rsid w:val="00710BB8"/>
    <w:rsid w:val="00711CB1"/>
    <w:rsid w:val="0072285A"/>
    <w:rsid w:val="00723741"/>
    <w:rsid w:val="007279DB"/>
    <w:rsid w:val="0073178F"/>
    <w:rsid w:val="007322C7"/>
    <w:rsid w:val="007324E8"/>
    <w:rsid w:val="00740EF0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378B"/>
    <w:rsid w:val="007A4DC5"/>
    <w:rsid w:val="007B1034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17F6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348D"/>
    <w:rsid w:val="00864B7A"/>
    <w:rsid w:val="008654F9"/>
    <w:rsid w:val="00881E66"/>
    <w:rsid w:val="008A07A2"/>
    <w:rsid w:val="008A1C94"/>
    <w:rsid w:val="008A31D5"/>
    <w:rsid w:val="008A3BBD"/>
    <w:rsid w:val="008B2189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365F"/>
    <w:rsid w:val="00917CEA"/>
    <w:rsid w:val="00920916"/>
    <w:rsid w:val="00926473"/>
    <w:rsid w:val="00932A48"/>
    <w:rsid w:val="00936493"/>
    <w:rsid w:val="009368D1"/>
    <w:rsid w:val="00937B22"/>
    <w:rsid w:val="00942562"/>
    <w:rsid w:val="00956486"/>
    <w:rsid w:val="0095767D"/>
    <w:rsid w:val="00957C2C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A7E3D"/>
    <w:rsid w:val="009B330D"/>
    <w:rsid w:val="009B41F5"/>
    <w:rsid w:val="009C12B3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854A8"/>
    <w:rsid w:val="00A934F9"/>
    <w:rsid w:val="00A937DD"/>
    <w:rsid w:val="00A94A30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4ED"/>
    <w:rsid w:val="00AF369E"/>
    <w:rsid w:val="00AF6326"/>
    <w:rsid w:val="00AF7B16"/>
    <w:rsid w:val="00B030F7"/>
    <w:rsid w:val="00B154BA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A0D"/>
    <w:rsid w:val="00B70E08"/>
    <w:rsid w:val="00B70FA3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20B1E"/>
    <w:rsid w:val="00C23B56"/>
    <w:rsid w:val="00C40853"/>
    <w:rsid w:val="00C41089"/>
    <w:rsid w:val="00C50A6B"/>
    <w:rsid w:val="00C5197E"/>
    <w:rsid w:val="00C51D1E"/>
    <w:rsid w:val="00C6007C"/>
    <w:rsid w:val="00C604D1"/>
    <w:rsid w:val="00C6464C"/>
    <w:rsid w:val="00C67FAE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2699"/>
    <w:rsid w:val="00CB314D"/>
    <w:rsid w:val="00CB5493"/>
    <w:rsid w:val="00CB65B9"/>
    <w:rsid w:val="00CC509D"/>
    <w:rsid w:val="00CC6482"/>
    <w:rsid w:val="00CC7204"/>
    <w:rsid w:val="00CD3729"/>
    <w:rsid w:val="00CD59B5"/>
    <w:rsid w:val="00CD79CD"/>
    <w:rsid w:val="00CE2013"/>
    <w:rsid w:val="00CF240F"/>
    <w:rsid w:val="00CF2FB5"/>
    <w:rsid w:val="00CF4D28"/>
    <w:rsid w:val="00CF5D45"/>
    <w:rsid w:val="00CF6C14"/>
    <w:rsid w:val="00D01C4C"/>
    <w:rsid w:val="00D039B5"/>
    <w:rsid w:val="00D04823"/>
    <w:rsid w:val="00D20092"/>
    <w:rsid w:val="00D20A08"/>
    <w:rsid w:val="00D224D0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059"/>
    <w:rsid w:val="00DE72CA"/>
    <w:rsid w:val="00DE7FB8"/>
    <w:rsid w:val="00DF0B6A"/>
    <w:rsid w:val="00DF35BB"/>
    <w:rsid w:val="00DF67ED"/>
    <w:rsid w:val="00E017C2"/>
    <w:rsid w:val="00E050F4"/>
    <w:rsid w:val="00E05517"/>
    <w:rsid w:val="00E214CF"/>
    <w:rsid w:val="00E271E8"/>
    <w:rsid w:val="00E30809"/>
    <w:rsid w:val="00E31EF7"/>
    <w:rsid w:val="00E32CDE"/>
    <w:rsid w:val="00E400B5"/>
    <w:rsid w:val="00E40431"/>
    <w:rsid w:val="00E445E5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372F"/>
    <w:rsid w:val="00EB4A00"/>
    <w:rsid w:val="00EB61BD"/>
    <w:rsid w:val="00EB6391"/>
    <w:rsid w:val="00EC4E8F"/>
    <w:rsid w:val="00EC6341"/>
    <w:rsid w:val="00EC7238"/>
    <w:rsid w:val="00ED17E0"/>
    <w:rsid w:val="00EE296E"/>
    <w:rsid w:val="00EE32AF"/>
    <w:rsid w:val="00EF3962"/>
    <w:rsid w:val="00EF7F2F"/>
    <w:rsid w:val="00F023B0"/>
    <w:rsid w:val="00F025FF"/>
    <w:rsid w:val="00F057A2"/>
    <w:rsid w:val="00F125FD"/>
    <w:rsid w:val="00F15C89"/>
    <w:rsid w:val="00F1614D"/>
    <w:rsid w:val="00F16B69"/>
    <w:rsid w:val="00F16D73"/>
    <w:rsid w:val="00F17F64"/>
    <w:rsid w:val="00F219D7"/>
    <w:rsid w:val="00F24B6E"/>
    <w:rsid w:val="00F32C90"/>
    <w:rsid w:val="00F36BB6"/>
    <w:rsid w:val="00F4201A"/>
    <w:rsid w:val="00F43BE4"/>
    <w:rsid w:val="00F47F00"/>
    <w:rsid w:val="00F54585"/>
    <w:rsid w:val="00F56B01"/>
    <w:rsid w:val="00F63B35"/>
    <w:rsid w:val="00F90889"/>
    <w:rsid w:val="00F9597F"/>
    <w:rsid w:val="00FA4C9D"/>
    <w:rsid w:val="00FB1763"/>
    <w:rsid w:val="00FB2A84"/>
    <w:rsid w:val="00FB4F57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A9F56"/>
  <w15:docId w15:val="{BDBAF982-FD22-4068-9646-3FBBB23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utente</cp:lastModifiedBy>
  <cp:revision>3</cp:revision>
  <cp:lastPrinted>2022-04-14T12:06:00Z</cp:lastPrinted>
  <dcterms:created xsi:type="dcterms:W3CDTF">2022-06-27T17:36:00Z</dcterms:created>
  <dcterms:modified xsi:type="dcterms:W3CDTF">2022-06-27T17:43:00Z</dcterms:modified>
</cp:coreProperties>
</file>