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42042B5B" w:rsidR="00F142A3" w:rsidRPr="00E9033B" w:rsidRDefault="0022462B" w:rsidP="0022462B">
      <w:pPr>
        <w:pBdr>
          <w:top w:val="nil"/>
          <w:left w:val="nil"/>
          <w:bottom w:val="nil"/>
          <w:right w:val="nil"/>
          <w:between w:val="nil"/>
          <w:bar w:val="nil"/>
        </w:pBdr>
        <w:spacing w:after="0" w:line="240" w:lineRule="auto"/>
        <w:jc w:val="both"/>
        <w:rPr>
          <w:rFonts w:ascii="Times New Roman" w:eastAsia="Times New Roman" w:hAnsi="Times New Roman" w:cs="Times New Roman"/>
          <w:i/>
          <w:iCs/>
          <w:sz w:val="24"/>
          <w:szCs w:val="24"/>
          <w:lang w:eastAsia="it-IT"/>
        </w:rPr>
      </w:pPr>
      <w:r>
        <w:rPr>
          <w:rFonts w:ascii="Times New Roman" w:eastAsia="Times New Roman" w:hAnsi="Times New Roman" w:cs="Times New Roman"/>
          <w:i/>
          <w:iCs/>
          <w:sz w:val="24"/>
          <w:szCs w:val="24"/>
          <w:lang w:eastAsia="it-IT"/>
        </w:rPr>
        <w:t xml:space="preserve">                                     </w:t>
      </w:r>
      <w:r w:rsidR="00F142A3" w:rsidRPr="00E9033B">
        <w:rPr>
          <w:rFonts w:ascii="Times New Roman" w:eastAsia="Times New Roman" w:hAnsi="Times New Roman" w:cs="Times New Roman"/>
          <w:i/>
          <w:iCs/>
          <w:sz w:val="24"/>
          <w:szCs w:val="24"/>
          <w:lang w:eastAsia="it-IT"/>
        </w:rPr>
        <w:t>Comunicato stampa n.</w:t>
      </w:r>
      <w:r w:rsidR="00CA2810">
        <w:rPr>
          <w:rFonts w:ascii="Times New Roman" w:eastAsia="Times New Roman" w:hAnsi="Times New Roman" w:cs="Times New Roman"/>
          <w:i/>
          <w:iCs/>
          <w:sz w:val="24"/>
          <w:szCs w:val="24"/>
          <w:lang w:eastAsia="it-IT"/>
        </w:rPr>
        <w:t>22</w:t>
      </w:r>
    </w:p>
    <w:p w14:paraId="349070AA" w14:textId="77777777" w:rsidR="00FD58AC" w:rsidRPr="008B5347" w:rsidRDefault="00FD58AC" w:rsidP="00FD58AC">
      <w:pPr>
        <w:spacing w:after="0" w:line="240" w:lineRule="auto"/>
        <w:ind w:left="2127" w:firstLine="141"/>
        <w:jc w:val="both"/>
        <w:rPr>
          <w:rFonts w:ascii="Times New Roman" w:eastAsia="Times New Roman" w:hAnsi="Times New Roman" w:cs="Times New Roman"/>
          <w:b/>
          <w:bCs/>
          <w:lang w:eastAsia="it-IT"/>
        </w:rPr>
      </w:pPr>
      <w:r w:rsidRPr="008B5347">
        <w:rPr>
          <w:rFonts w:ascii="Times New Roman" w:eastAsia="Times New Roman" w:hAnsi="Times New Roman" w:cs="Times New Roman"/>
          <w:b/>
          <w:bCs/>
          <w:lang w:eastAsia="it-IT"/>
        </w:rPr>
        <w:t>EIMA Green, il ‘cuore verde’ di EIMA International</w:t>
      </w:r>
    </w:p>
    <w:p w14:paraId="243EFAAF" w14:textId="77777777" w:rsidR="00FD58AC" w:rsidRPr="007F79F0" w:rsidRDefault="00FD58AC" w:rsidP="00FD58AC">
      <w:pPr>
        <w:spacing w:after="0" w:line="240" w:lineRule="auto"/>
        <w:ind w:left="2268" w:hanging="141"/>
        <w:jc w:val="both"/>
        <w:rPr>
          <w:rFonts w:ascii="Times New Roman" w:eastAsia="Times New Roman" w:hAnsi="Times New Roman" w:cs="Times New Roman"/>
          <w:b/>
          <w:bCs/>
          <w:sz w:val="10"/>
          <w:szCs w:val="10"/>
          <w:lang w:eastAsia="it-IT"/>
        </w:rPr>
      </w:pPr>
    </w:p>
    <w:p w14:paraId="1F23C5A5" w14:textId="6A949E55" w:rsidR="00FD58AC" w:rsidRPr="007F79F0" w:rsidRDefault="00FD58AC" w:rsidP="00FD58AC">
      <w:pPr>
        <w:spacing w:after="0" w:line="240" w:lineRule="auto"/>
        <w:ind w:left="2268"/>
        <w:jc w:val="both"/>
        <w:rPr>
          <w:rFonts w:ascii="Times New Roman" w:eastAsia="Times New Roman" w:hAnsi="Times New Roman" w:cs="Times New Roman"/>
          <w:b/>
          <w:bCs/>
          <w:i/>
          <w:iCs/>
          <w:lang w:eastAsia="it-IT"/>
        </w:rPr>
      </w:pPr>
      <w:r w:rsidRPr="007F79F0">
        <w:rPr>
          <w:rFonts w:ascii="Times New Roman" w:eastAsia="Times New Roman" w:hAnsi="Times New Roman" w:cs="Times New Roman"/>
          <w:b/>
          <w:bCs/>
          <w:i/>
          <w:iCs/>
          <w:lang w:eastAsia="it-IT"/>
        </w:rPr>
        <w:t>Il Salone dedicato alle attrezzature per la cura del verde si tiene in un contesto caratterizzato da una crescente diffusione delle attività di gardening</w:t>
      </w:r>
      <w:r w:rsidR="002A5AA3">
        <w:rPr>
          <w:rFonts w:ascii="Times New Roman" w:eastAsia="Times New Roman" w:hAnsi="Times New Roman" w:cs="Times New Roman"/>
          <w:b/>
          <w:bCs/>
          <w:i/>
          <w:iCs/>
          <w:lang w:eastAsia="it-IT"/>
        </w:rPr>
        <w:t xml:space="preserve">. Attese a Bologna </w:t>
      </w:r>
      <w:r w:rsidRPr="007F79F0">
        <w:rPr>
          <w:rFonts w:ascii="Times New Roman" w:eastAsia="Times New Roman" w:hAnsi="Times New Roman" w:cs="Times New Roman"/>
          <w:b/>
          <w:bCs/>
          <w:i/>
          <w:iCs/>
          <w:lang w:eastAsia="it-IT"/>
        </w:rPr>
        <w:t xml:space="preserve">oltre 200 industrie espositrici con una gamma in grado di soddisfare le esigenze del settore hobbistico e professionale. La nuova </w:t>
      </w:r>
      <w:r w:rsidRPr="007F79F0">
        <w:rPr>
          <w:rFonts w:ascii="Times New Roman" w:hAnsi="Times New Roman" w:cs="Times New Roman"/>
          <w:b/>
          <w:bCs/>
          <w:i/>
          <w:iCs/>
          <w:color w:val="000000"/>
          <w:shd w:val="clear" w:color="auto" w:fill="FFFFFF"/>
        </w:rPr>
        <w:t>Green Workshop Area dedicata a convegni e incontri d’affari</w:t>
      </w:r>
      <w:r w:rsidR="007F79F0">
        <w:rPr>
          <w:rFonts w:ascii="Times New Roman" w:hAnsi="Times New Roman" w:cs="Times New Roman"/>
          <w:b/>
          <w:bCs/>
          <w:i/>
          <w:iCs/>
          <w:color w:val="000000"/>
          <w:shd w:val="clear" w:color="auto" w:fill="FFFFFF"/>
        </w:rPr>
        <w:t>.</w:t>
      </w:r>
    </w:p>
    <w:p w14:paraId="3A621C04" w14:textId="77777777" w:rsidR="00FD58AC" w:rsidRPr="007F79F0" w:rsidRDefault="00FD58AC" w:rsidP="00FD58AC">
      <w:pPr>
        <w:spacing w:after="0" w:line="240" w:lineRule="auto"/>
        <w:ind w:left="2268" w:hanging="141"/>
        <w:jc w:val="both"/>
        <w:rPr>
          <w:rFonts w:ascii="Times New Roman" w:eastAsia="Times New Roman" w:hAnsi="Times New Roman" w:cs="Times New Roman"/>
          <w:sz w:val="10"/>
          <w:szCs w:val="10"/>
          <w:lang w:eastAsia="it-IT"/>
        </w:rPr>
      </w:pPr>
    </w:p>
    <w:p w14:paraId="751EBBF0" w14:textId="55E20425" w:rsidR="002A5AA3" w:rsidRDefault="002A5AA3" w:rsidP="002A5AA3">
      <w:pPr>
        <w:spacing w:after="0" w:line="240" w:lineRule="auto"/>
        <w:ind w:left="2268"/>
        <w:jc w:val="both"/>
        <w:rPr>
          <w:rFonts w:ascii="Times New Roman" w:eastAsia="Times New Roman" w:hAnsi="Times New Roman" w:cs="Times New Roman"/>
          <w:lang w:eastAsia="it-IT"/>
        </w:rPr>
      </w:pPr>
      <w:r>
        <w:rPr>
          <w:rFonts w:ascii="Times New Roman" w:eastAsia="Times New Roman" w:hAnsi="Times New Roman" w:cs="Times New Roman"/>
          <w:lang w:eastAsia="it-IT"/>
        </w:rPr>
        <w:t>Il giardinaggio</w:t>
      </w:r>
      <w:r w:rsidR="00FD58AC" w:rsidRPr="00FB4357">
        <w:rPr>
          <w:rFonts w:ascii="Times New Roman" w:eastAsia="Times New Roman" w:hAnsi="Times New Roman" w:cs="Times New Roman"/>
          <w:lang w:eastAsia="it-IT"/>
        </w:rPr>
        <w:t xml:space="preserve"> è un fenomeno sociale che coinvolge </w:t>
      </w:r>
      <w:r>
        <w:rPr>
          <w:rFonts w:ascii="Times New Roman" w:eastAsia="Times New Roman" w:hAnsi="Times New Roman" w:cs="Times New Roman"/>
          <w:lang w:eastAsia="it-IT"/>
        </w:rPr>
        <w:t xml:space="preserve">una </w:t>
      </w:r>
      <w:r w:rsidR="00FD58AC" w:rsidRPr="00FB4357">
        <w:rPr>
          <w:rFonts w:ascii="Times New Roman" w:eastAsia="Times New Roman" w:hAnsi="Times New Roman" w:cs="Times New Roman"/>
          <w:lang w:eastAsia="it-IT"/>
        </w:rPr>
        <w:t>fascia sempre più ampia della popolazione italiana. Un’indagine condotta nel 2025 dalla società demoscopica GFK indica che il 64% de</w:t>
      </w:r>
      <w:r w:rsidR="00FD58AC">
        <w:rPr>
          <w:rFonts w:ascii="Times New Roman" w:eastAsia="Times New Roman" w:hAnsi="Times New Roman" w:cs="Times New Roman"/>
          <w:lang w:eastAsia="it-IT"/>
        </w:rPr>
        <w:t xml:space="preserve">i connazionali </w:t>
      </w:r>
      <w:r>
        <w:rPr>
          <w:rFonts w:ascii="Times New Roman" w:eastAsia="Times New Roman" w:hAnsi="Times New Roman" w:cs="Times New Roman"/>
          <w:lang w:eastAsia="it-IT"/>
        </w:rPr>
        <w:t xml:space="preserve">si dedica alla cura del verde non soltanto su </w:t>
      </w:r>
      <w:r w:rsidR="00FD58AC" w:rsidRPr="00FB4357">
        <w:rPr>
          <w:rFonts w:ascii="Times New Roman" w:eastAsia="Times New Roman" w:hAnsi="Times New Roman" w:cs="Times New Roman"/>
          <w:lang w:eastAsia="it-IT"/>
        </w:rPr>
        <w:t>balconi</w:t>
      </w:r>
      <w:r>
        <w:rPr>
          <w:rFonts w:ascii="Times New Roman" w:eastAsia="Times New Roman" w:hAnsi="Times New Roman" w:cs="Times New Roman"/>
          <w:lang w:eastAsia="it-IT"/>
        </w:rPr>
        <w:t xml:space="preserve"> e terrazzi</w:t>
      </w:r>
      <w:r w:rsidR="00FD58AC">
        <w:rPr>
          <w:rFonts w:ascii="Times New Roman" w:eastAsia="Times New Roman" w:hAnsi="Times New Roman" w:cs="Times New Roman"/>
          <w:lang w:eastAsia="it-IT"/>
        </w:rPr>
        <w:t>,</w:t>
      </w:r>
      <w:r>
        <w:rPr>
          <w:rFonts w:ascii="Times New Roman" w:eastAsia="Times New Roman" w:hAnsi="Times New Roman" w:cs="Times New Roman"/>
          <w:lang w:eastAsia="it-IT"/>
        </w:rPr>
        <w:t xml:space="preserve"> ma anche nelle aree occupate da</w:t>
      </w:r>
      <w:r w:rsidR="00FD58AC" w:rsidRPr="00FB4357">
        <w:rPr>
          <w:rFonts w:ascii="Times New Roman" w:eastAsia="Times New Roman" w:hAnsi="Times New Roman" w:cs="Times New Roman"/>
          <w:lang w:eastAsia="it-IT"/>
        </w:rPr>
        <w:t xml:space="preserve"> giardini e orti urbani. </w:t>
      </w:r>
      <w:r w:rsidR="00030E3C">
        <w:rPr>
          <w:rFonts w:ascii="Times New Roman" w:eastAsia="Times New Roman" w:hAnsi="Times New Roman" w:cs="Times New Roman"/>
          <w:lang w:eastAsia="it-IT"/>
        </w:rPr>
        <w:t xml:space="preserve">Ulteriori ricerche hanno evidenziato il valore terapeutico delle attività di </w:t>
      </w:r>
      <w:r w:rsidR="00FD58AC" w:rsidRPr="00FB4357">
        <w:rPr>
          <w:rFonts w:ascii="Times New Roman" w:eastAsia="Times New Roman" w:hAnsi="Times New Roman" w:cs="Times New Roman"/>
          <w:lang w:eastAsia="it-IT"/>
        </w:rPr>
        <w:t>giardinaggio</w:t>
      </w:r>
      <w:r w:rsidR="00030E3C">
        <w:rPr>
          <w:rFonts w:ascii="Times New Roman" w:eastAsia="Times New Roman" w:hAnsi="Times New Roman" w:cs="Times New Roman"/>
          <w:lang w:eastAsia="it-IT"/>
        </w:rPr>
        <w:t xml:space="preserve"> e la </w:t>
      </w:r>
      <w:r w:rsidR="00FD58AC" w:rsidRPr="00FB4357">
        <w:rPr>
          <w:rFonts w:ascii="Times New Roman" w:eastAsia="Times New Roman" w:hAnsi="Times New Roman" w:cs="Times New Roman"/>
          <w:lang w:eastAsia="it-IT"/>
        </w:rPr>
        <w:t>funzione estetica</w:t>
      </w:r>
      <w:r w:rsidR="00030E3C">
        <w:rPr>
          <w:rFonts w:ascii="Times New Roman" w:eastAsia="Times New Roman" w:hAnsi="Times New Roman" w:cs="Times New Roman"/>
          <w:lang w:eastAsia="it-IT"/>
        </w:rPr>
        <w:t xml:space="preserve"> del gardening</w:t>
      </w:r>
      <w:r w:rsidR="00FD58AC" w:rsidRPr="00FB4357">
        <w:rPr>
          <w:rFonts w:ascii="Times New Roman" w:eastAsia="Times New Roman" w:hAnsi="Times New Roman" w:cs="Times New Roman"/>
          <w:lang w:eastAsia="it-IT"/>
        </w:rPr>
        <w:t>, finalizzata all’abbellimento degli spazi privati e del paesaggio</w:t>
      </w:r>
      <w:r>
        <w:rPr>
          <w:rFonts w:ascii="Times New Roman" w:eastAsia="Times New Roman" w:hAnsi="Times New Roman" w:cs="Times New Roman"/>
          <w:lang w:eastAsia="it-IT"/>
        </w:rPr>
        <w:t>, anche</w:t>
      </w:r>
      <w:r w:rsidR="00FD58AC" w:rsidRPr="00FB4357">
        <w:rPr>
          <w:rFonts w:ascii="Times New Roman" w:eastAsia="Times New Roman" w:hAnsi="Times New Roman" w:cs="Times New Roman"/>
          <w:lang w:eastAsia="it-IT"/>
        </w:rPr>
        <w:t xml:space="preserve"> urbano. </w:t>
      </w:r>
      <w:r w:rsidR="00FD58AC">
        <w:rPr>
          <w:rFonts w:ascii="Times New Roman" w:eastAsia="Times New Roman" w:hAnsi="Times New Roman" w:cs="Times New Roman"/>
          <w:lang w:eastAsia="it-IT"/>
        </w:rPr>
        <w:t>Il verde</w:t>
      </w:r>
      <w:r>
        <w:rPr>
          <w:rFonts w:ascii="Times New Roman" w:eastAsia="Times New Roman" w:hAnsi="Times New Roman" w:cs="Times New Roman"/>
          <w:lang w:eastAsia="it-IT"/>
        </w:rPr>
        <w:t xml:space="preserve"> </w:t>
      </w:r>
      <w:r w:rsidR="00FD58AC">
        <w:rPr>
          <w:rFonts w:ascii="Times New Roman" w:eastAsia="Times New Roman" w:hAnsi="Times New Roman" w:cs="Times New Roman"/>
          <w:lang w:eastAsia="it-IT"/>
        </w:rPr>
        <w:t xml:space="preserve">sta </w:t>
      </w:r>
      <w:r>
        <w:rPr>
          <w:rFonts w:ascii="Times New Roman" w:eastAsia="Times New Roman" w:hAnsi="Times New Roman" w:cs="Times New Roman"/>
          <w:lang w:eastAsia="it-IT"/>
        </w:rPr>
        <w:t xml:space="preserve">dunque </w:t>
      </w:r>
      <w:r w:rsidR="00FD58AC">
        <w:rPr>
          <w:rFonts w:ascii="Times New Roman" w:eastAsia="Times New Roman" w:hAnsi="Times New Roman" w:cs="Times New Roman"/>
          <w:lang w:eastAsia="it-IT"/>
        </w:rPr>
        <w:t xml:space="preserve">acquisendo una </w:t>
      </w:r>
      <w:r w:rsidR="00FD58AC" w:rsidRPr="00FB4357">
        <w:rPr>
          <w:rFonts w:ascii="Times New Roman" w:eastAsia="Times New Roman" w:hAnsi="Times New Roman" w:cs="Times New Roman"/>
          <w:lang w:eastAsia="it-IT"/>
        </w:rPr>
        <w:t xml:space="preserve">crescente rilevanza sociale </w:t>
      </w:r>
      <w:r w:rsidR="007F79F0">
        <w:rPr>
          <w:rFonts w:ascii="Times New Roman" w:eastAsia="Times New Roman" w:hAnsi="Times New Roman" w:cs="Times New Roman"/>
          <w:lang w:eastAsia="it-IT"/>
        </w:rPr>
        <w:t xml:space="preserve">che </w:t>
      </w:r>
      <w:r w:rsidR="00FD58AC" w:rsidRPr="00FB4357">
        <w:rPr>
          <w:rFonts w:ascii="Times New Roman" w:eastAsia="Times New Roman" w:hAnsi="Times New Roman" w:cs="Times New Roman"/>
          <w:lang w:eastAsia="it-IT"/>
        </w:rPr>
        <w:t xml:space="preserve">investe anche </w:t>
      </w:r>
      <w:r w:rsidR="00FD58AC">
        <w:rPr>
          <w:rFonts w:ascii="Times New Roman" w:eastAsia="Times New Roman" w:hAnsi="Times New Roman" w:cs="Times New Roman"/>
          <w:lang w:eastAsia="it-IT"/>
        </w:rPr>
        <w:t>la sfer</w:t>
      </w:r>
      <w:r w:rsidR="00FD58AC" w:rsidRPr="00FB4357">
        <w:rPr>
          <w:rFonts w:ascii="Times New Roman" w:eastAsia="Times New Roman" w:hAnsi="Times New Roman" w:cs="Times New Roman"/>
          <w:lang w:eastAsia="it-IT"/>
        </w:rPr>
        <w:t xml:space="preserve">a pubblica. </w:t>
      </w:r>
      <w:r w:rsidRPr="002A5AA3">
        <w:rPr>
          <w:rFonts w:ascii="Times New Roman" w:eastAsia="Times New Roman" w:hAnsi="Times New Roman" w:cs="Times New Roman"/>
          <w:lang w:eastAsia="it-IT"/>
        </w:rPr>
        <w:t>Ciò comporta investimenti sempre più consistenti nella meccanizzazione, chiamata ad evolvere in termini di tecnologie e di tipologie per rispondere alle nuove esigenze di impianto e manutenzione del verde.</w:t>
      </w:r>
      <w:r>
        <w:rPr>
          <w:rFonts w:ascii="Times New Roman" w:eastAsia="Times New Roman" w:hAnsi="Times New Roman" w:cs="Times New Roman"/>
          <w:lang w:eastAsia="it-IT"/>
        </w:rPr>
        <w:t xml:space="preserve"> La </w:t>
      </w:r>
      <w:r w:rsidR="00FD58AC" w:rsidRPr="00FB4357">
        <w:rPr>
          <w:rFonts w:ascii="Times New Roman" w:eastAsia="Times New Roman" w:hAnsi="Times New Roman" w:cs="Times New Roman"/>
          <w:lang w:eastAsia="it-IT"/>
        </w:rPr>
        <w:t xml:space="preserve">domanda di macchine e attrezzature </w:t>
      </w:r>
      <w:r>
        <w:rPr>
          <w:rFonts w:ascii="Times New Roman" w:eastAsia="Times New Roman" w:hAnsi="Times New Roman" w:cs="Times New Roman"/>
          <w:lang w:eastAsia="it-IT"/>
        </w:rPr>
        <w:t>per il gardening</w:t>
      </w:r>
      <w:r w:rsidR="00FD58AC" w:rsidRPr="00FB4357">
        <w:rPr>
          <w:rFonts w:ascii="Times New Roman" w:eastAsia="Times New Roman" w:hAnsi="Times New Roman" w:cs="Times New Roman"/>
          <w:lang w:eastAsia="it-IT"/>
        </w:rPr>
        <w:t xml:space="preserve"> </w:t>
      </w:r>
      <w:r w:rsidR="007F79F0">
        <w:rPr>
          <w:rFonts w:ascii="Times New Roman" w:eastAsia="Times New Roman" w:hAnsi="Times New Roman" w:cs="Times New Roman"/>
          <w:lang w:eastAsia="it-IT"/>
        </w:rPr>
        <w:t>-</w:t>
      </w:r>
      <w:r w:rsidR="00FD58AC">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sottolinea FederUnacoma, la Federazione italiana dei costruttori di macchine agricole, organizzatrice diretta di EIMA International -</w:t>
      </w:r>
      <w:r w:rsidR="00FD58AC">
        <w:rPr>
          <w:rFonts w:ascii="Times New Roman" w:eastAsia="Times New Roman" w:hAnsi="Times New Roman" w:cs="Times New Roman"/>
          <w:lang w:eastAsia="it-IT"/>
        </w:rPr>
        <w:t xml:space="preserve"> si orienta sempre di più</w:t>
      </w:r>
      <w:r w:rsidR="00FD58AC" w:rsidRPr="00FB4357">
        <w:rPr>
          <w:rFonts w:ascii="Times New Roman" w:eastAsia="Times New Roman" w:hAnsi="Times New Roman" w:cs="Times New Roman"/>
          <w:lang w:eastAsia="it-IT"/>
        </w:rPr>
        <w:t xml:space="preserve"> </w:t>
      </w:r>
      <w:r w:rsidR="00FD58AC">
        <w:rPr>
          <w:rFonts w:ascii="Times New Roman" w:eastAsia="Times New Roman" w:hAnsi="Times New Roman" w:cs="Times New Roman"/>
          <w:lang w:eastAsia="it-IT"/>
        </w:rPr>
        <w:t xml:space="preserve">sui mezzi automatici, sulla digitalizzazione, sulle motorizzazioni elettriche a batteria. </w:t>
      </w:r>
    </w:p>
    <w:p w14:paraId="60D98D75" w14:textId="234AD80C" w:rsidR="00FD58AC" w:rsidRDefault="00FD58AC" w:rsidP="002A5AA3">
      <w:pPr>
        <w:spacing w:after="0" w:line="240" w:lineRule="auto"/>
        <w:ind w:left="2268"/>
        <w:jc w:val="both"/>
        <w:rPr>
          <w:rFonts w:ascii="Times New Roman" w:hAnsi="Times New Roman" w:cs="Times New Roman"/>
          <w:color w:val="000000"/>
          <w:shd w:val="clear" w:color="auto" w:fill="FFFFFF"/>
        </w:rPr>
      </w:pPr>
      <w:proofErr w:type="gramStart"/>
      <w:r w:rsidRPr="00FB4357">
        <w:rPr>
          <w:rFonts w:ascii="Times New Roman" w:eastAsia="Times New Roman" w:hAnsi="Times New Roman" w:cs="Times New Roman"/>
          <w:lang w:eastAsia="it-IT"/>
        </w:rPr>
        <w:t>E’</w:t>
      </w:r>
      <w:proofErr w:type="gramEnd"/>
      <w:r w:rsidRPr="00FB4357">
        <w:rPr>
          <w:rFonts w:ascii="Times New Roman" w:eastAsia="Times New Roman" w:hAnsi="Times New Roman" w:cs="Times New Roman"/>
          <w:lang w:eastAsia="it-IT"/>
        </w:rPr>
        <w:t xml:space="preserve"> proprio in questo contesto che si colloca il Salone di EIMA Green, uno dei sette Saloni tematici di EIM</w:t>
      </w:r>
      <w:r>
        <w:rPr>
          <w:rFonts w:ascii="Times New Roman" w:eastAsia="Times New Roman" w:hAnsi="Times New Roman" w:cs="Times New Roman"/>
          <w:lang w:eastAsia="it-IT"/>
        </w:rPr>
        <w:t>A</w:t>
      </w:r>
      <w:r w:rsidRPr="00FB4357">
        <w:rPr>
          <w:rFonts w:ascii="Times New Roman" w:eastAsia="Times New Roman" w:hAnsi="Times New Roman" w:cs="Times New Roman"/>
          <w:lang w:eastAsia="it-IT"/>
        </w:rPr>
        <w:t xml:space="preserve"> International, </w:t>
      </w:r>
      <w:r w:rsidRPr="00FB4357">
        <w:rPr>
          <w:rFonts w:ascii="Times New Roman" w:hAnsi="Times New Roman" w:cs="Times New Roman"/>
          <w:color w:val="000000"/>
          <w:shd w:val="clear" w:color="auto" w:fill="FFFFFF"/>
        </w:rPr>
        <w:t xml:space="preserve">l’esposizione mondiale dedicata alle macchine, attrezzature e componentistica per l’agricoltura e la cura del verde, </w:t>
      </w:r>
      <w:r w:rsidR="002A5AA3">
        <w:rPr>
          <w:rFonts w:ascii="Times New Roman" w:hAnsi="Times New Roman" w:cs="Times New Roman"/>
          <w:color w:val="000000"/>
          <w:shd w:val="clear" w:color="auto" w:fill="FFFFFF"/>
        </w:rPr>
        <w:t>in programma a</w:t>
      </w:r>
      <w:r>
        <w:rPr>
          <w:rFonts w:ascii="Times New Roman" w:hAnsi="Times New Roman" w:cs="Times New Roman"/>
          <w:color w:val="000000"/>
          <w:shd w:val="clear" w:color="auto" w:fill="FFFFFF"/>
        </w:rPr>
        <w:t xml:space="preserve"> Bologna da martedì 10 a sabato 14 novembre prossimo. Esteso su una superficie complessiva di 10.200 metri quadrati, nei Padiglioni 34 e 35,</w:t>
      </w:r>
      <w:r w:rsidR="00CA2810">
        <w:rPr>
          <w:rFonts w:ascii="Times New Roman" w:hAnsi="Times New Roman" w:cs="Times New Roman"/>
          <w:color w:val="000000"/>
          <w:shd w:val="clear" w:color="auto" w:fill="FFFFFF"/>
        </w:rPr>
        <w:t xml:space="preserve"> EIMA</w:t>
      </w:r>
      <w:r>
        <w:rPr>
          <w:rFonts w:ascii="Times New Roman" w:hAnsi="Times New Roman" w:cs="Times New Roman"/>
          <w:color w:val="000000"/>
          <w:shd w:val="clear" w:color="auto" w:fill="FFFFFF"/>
        </w:rPr>
        <w:t xml:space="preserve"> Green vede la presenza di oltre 200 case costruttrici, di cui 95 estere, che presentano al vasto pubblico della rassegna bolognese</w:t>
      </w:r>
      <w:r w:rsidR="002A5AA3">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le soluzioni più innovative per la cura del verde pubblico e privato. Dai rasaerba alle motoseghe</w:t>
      </w:r>
      <w:r w:rsidR="002A5AA3">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sino ai tagliasiepi, EIMA Green mette in mostra una gamma completa di macchine e attrezzature, concepite sia per un’utenza professionale che per la vasta platea degli hobbisti. All’interno del Padiglione 34 gli organizzatori di FederUnacoma hanno </w:t>
      </w:r>
      <w:r w:rsidR="002A5AA3">
        <w:rPr>
          <w:rFonts w:ascii="Times New Roman" w:hAnsi="Times New Roman" w:cs="Times New Roman"/>
          <w:color w:val="000000"/>
          <w:shd w:val="clear" w:color="auto" w:fill="FFFFFF"/>
        </w:rPr>
        <w:t>predisposto</w:t>
      </w:r>
      <w:r>
        <w:rPr>
          <w:rFonts w:ascii="Times New Roman" w:hAnsi="Times New Roman" w:cs="Times New Roman"/>
          <w:color w:val="000000"/>
          <w:shd w:val="clear" w:color="auto" w:fill="FFFFFF"/>
        </w:rPr>
        <w:t xml:space="preserve"> uno spazio denominato Green Workshop Area</w:t>
      </w:r>
      <w:r w:rsidR="002A5AA3">
        <w:rPr>
          <w:rFonts w:ascii="Times New Roman" w:hAnsi="Times New Roman" w:cs="Times New Roman"/>
          <w:color w:val="000000"/>
          <w:shd w:val="clear" w:color="auto" w:fill="FFFFFF"/>
        </w:rPr>
        <w:t xml:space="preserve"> dove</w:t>
      </w:r>
      <w:r>
        <w:rPr>
          <w:rFonts w:ascii="Times New Roman" w:hAnsi="Times New Roman" w:cs="Times New Roman"/>
          <w:color w:val="000000"/>
          <w:shd w:val="clear" w:color="auto" w:fill="FFFFFF"/>
        </w:rPr>
        <w:t xml:space="preserve"> è presente un’area riservata esclusivamente agli incontri business to business tra le industrie espositrici del settore e </w:t>
      </w:r>
      <w:r w:rsidRPr="00FE5FAD">
        <w:rPr>
          <w:rFonts w:ascii="Times New Roman" w:hAnsi="Times New Roman" w:cs="Times New Roman"/>
          <w:color w:val="000000"/>
          <w:shd w:val="clear" w:color="auto" w:fill="FFFFFF"/>
        </w:rPr>
        <w:t xml:space="preserve">gli operatori italiani e stranieri </w:t>
      </w:r>
      <w:r>
        <w:rPr>
          <w:rFonts w:ascii="Times New Roman" w:hAnsi="Times New Roman" w:cs="Times New Roman"/>
          <w:color w:val="000000"/>
          <w:shd w:val="clear" w:color="auto" w:fill="FFFFFF"/>
        </w:rPr>
        <w:t xml:space="preserve">indicati dalle stesse case costruttrici. </w:t>
      </w:r>
      <w:r w:rsidR="002A5AA3">
        <w:rPr>
          <w:rFonts w:ascii="Times New Roman" w:hAnsi="Times New Roman" w:cs="Times New Roman"/>
          <w:color w:val="000000"/>
          <w:shd w:val="clear" w:color="auto" w:fill="FFFFFF"/>
        </w:rPr>
        <w:t>Nella</w:t>
      </w:r>
      <w:r>
        <w:rPr>
          <w:rFonts w:ascii="Times New Roman" w:hAnsi="Times New Roman" w:cs="Times New Roman"/>
          <w:color w:val="000000"/>
          <w:shd w:val="clear" w:color="auto" w:fill="FFFFFF"/>
        </w:rPr>
        <w:t xml:space="preserve"> Green Workshop Area è presente anche una sala convegni che ospiterà gli eventi tematic</w:t>
      </w:r>
      <w:r w:rsidR="002A5AA3">
        <w:rPr>
          <w:rFonts w:ascii="Times New Roman" w:hAnsi="Times New Roman" w:cs="Times New Roman"/>
          <w:color w:val="000000"/>
          <w:shd w:val="clear" w:color="auto" w:fill="FFFFFF"/>
        </w:rPr>
        <w:t>i</w:t>
      </w:r>
      <w:r>
        <w:rPr>
          <w:rFonts w:ascii="Times New Roman" w:hAnsi="Times New Roman" w:cs="Times New Roman"/>
          <w:color w:val="000000"/>
          <w:shd w:val="clear" w:color="auto" w:fill="FFFFFF"/>
        </w:rPr>
        <w:t xml:space="preserve"> previsti nell’ambito del Salone del Green. Ad oggi sono stati calendarizzati, tra gli altri, i convegni intitolati “Valore circolare, sfalci e potature da scarto a risorsa per il territorio” (10 novembre</w:t>
      </w:r>
      <w:r w:rsidR="002A5AA3">
        <w:rPr>
          <w:rFonts w:ascii="Times New Roman" w:hAnsi="Times New Roman" w:cs="Times New Roman"/>
          <w:color w:val="000000"/>
          <w:shd w:val="clear" w:color="auto" w:fill="FFFFFF"/>
        </w:rPr>
        <w:t xml:space="preserve"> alle </w:t>
      </w:r>
      <w:r>
        <w:rPr>
          <w:rFonts w:ascii="Times New Roman" w:hAnsi="Times New Roman" w:cs="Times New Roman"/>
          <w:color w:val="000000"/>
          <w:shd w:val="clear" w:color="auto" w:fill="FFFFFF"/>
        </w:rPr>
        <w:t xml:space="preserve">15.30) promosso da FederUnacoma, CREA, Coldiretti, </w:t>
      </w:r>
      <w:proofErr w:type="spellStart"/>
      <w:r>
        <w:rPr>
          <w:rFonts w:ascii="Times New Roman" w:hAnsi="Times New Roman" w:cs="Times New Roman"/>
          <w:color w:val="000000"/>
          <w:shd w:val="clear" w:color="auto" w:fill="FFFFFF"/>
        </w:rPr>
        <w:t>Comagarden</w:t>
      </w:r>
      <w:proofErr w:type="spellEnd"/>
      <w:r>
        <w:rPr>
          <w:rFonts w:ascii="Times New Roman" w:hAnsi="Times New Roman" w:cs="Times New Roman"/>
          <w:color w:val="000000"/>
          <w:shd w:val="clear" w:color="auto" w:fill="FFFFFF"/>
        </w:rPr>
        <w:t xml:space="preserve">, </w:t>
      </w:r>
      <w:proofErr w:type="spellStart"/>
      <w:r>
        <w:rPr>
          <w:rFonts w:ascii="Times New Roman" w:hAnsi="Times New Roman" w:cs="Times New Roman"/>
          <w:color w:val="000000"/>
          <w:shd w:val="clear" w:color="auto" w:fill="FFFFFF"/>
        </w:rPr>
        <w:t>Assofloro</w:t>
      </w:r>
      <w:proofErr w:type="spellEnd"/>
      <w:r>
        <w:rPr>
          <w:rFonts w:ascii="Times New Roman" w:hAnsi="Times New Roman" w:cs="Times New Roman"/>
          <w:color w:val="000000"/>
          <w:shd w:val="clear" w:color="auto" w:fill="FFFFFF"/>
        </w:rPr>
        <w:t xml:space="preserve"> e Itabia; “EVA – Energia, Verde, Ambiente” (11 novembre 2026 alle 11.30) da FederUnacoma e Assoverde in collaborazione con il CREA; “Agricoltura rigenerativa e </w:t>
      </w:r>
      <w:proofErr w:type="spellStart"/>
      <w:r>
        <w:rPr>
          <w:rFonts w:ascii="Times New Roman" w:hAnsi="Times New Roman" w:cs="Times New Roman"/>
          <w:color w:val="000000"/>
          <w:shd w:val="clear" w:color="auto" w:fill="FFFFFF"/>
        </w:rPr>
        <w:t>carbonicoltura</w:t>
      </w:r>
      <w:proofErr w:type="spellEnd"/>
      <w:r>
        <w:rPr>
          <w:rFonts w:ascii="Times New Roman" w:hAnsi="Times New Roman" w:cs="Times New Roman"/>
          <w:color w:val="000000"/>
          <w:shd w:val="clear" w:color="auto" w:fill="FFFFFF"/>
        </w:rPr>
        <w:t xml:space="preserve">. Opportunità o chimera? </w:t>
      </w:r>
      <w:r w:rsidRPr="003B32C9">
        <w:rPr>
          <w:rFonts w:ascii="Times New Roman" w:hAnsi="Times New Roman" w:cs="Times New Roman"/>
          <w:color w:val="000000"/>
          <w:shd w:val="clear" w:color="auto" w:fill="FFFFFF"/>
        </w:rPr>
        <w:t>Il passaggio dalle certificazioni volontarie alle normative in evoluzione</w:t>
      </w:r>
      <w:r>
        <w:rPr>
          <w:rFonts w:ascii="Times New Roman" w:hAnsi="Times New Roman" w:cs="Times New Roman"/>
          <w:color w:val="000000"/>
          <w:shd w:val="clear" w:color="auto" w:fill="FFFFFF"/>
        </w:rPr>
        <w:t xml:space="preserve">”. Oltre alla superficie espositiva coperta, il Salone </w:t>
      </w:r>
      <w:r w:rsidR="002A5AA3">
        <w:rPr>
          <w:rFonts w:ascii="Times New Roman" w:hAnsi="Times New Roman" w:cs="Times New Roman"/>
          <w:color w:val="000000"/>
          <w:shd w:val="clear" w:color="auto" w:fill="FFFFFF"/>
        </w:rPr>
        <w:t>del verde</w:t>
      </w:r>
      <w:r>
        <w:rPr>
          <w:rFonts w:ascii="Times New Roman" w:hAnsi="Times New Roman" w:cs="Times New Roman"/>
          <w:color w:val="000000"/>
          <w:shd w:val="clear" w:color="auto" w:fill="FFFFFF"/>
        </w:rPr>
        <w:t xml:space="preserve"> prevede uno spazio esterno collocato tra i Padiglioni 35 e 37 e denominato Garden E</w:t>
      </w:r>
      <w:r w:rsidR="00CA2810">
        <w:rPr>
          <w:rFonts w:ascii="Times New Roman" w:hAnsi="Times New Roman" w:cs="Times New Roman"/>
          <w:color w:val="000000"/>
          <w:shd w:val="clear" w:color="auto" w:fill="FFFFFF"/>
        </w:rPr>
        <w:t>-</w:t>
      </w:r>
      <w:proofErr w:type="spellStart"/>
      <w:r>
        <w:rPr>
          <w:rFonts w:ascii="Times New Roman" w:hAnsi="Times New Roman" w:cs="Times New Roman"/>
          <w:color w:val="000000"/>
          <w:shd w:val="clear" w:color="auto" w:fill="FFFFFF"/>
        </w:rPr>
        <w:t>motion</w:t>
      </w:r>
      <w:proofErr w:type="spellEnd"/>
      <w:r>
        <w:rPr>
          <w:rFonts w:ascii="Times New Roman" w:hAnsi="Times New Roman" w:cs="Times New Roman"/>
          <w:color w:val="000000"/>
          <w:shd w:val="clear" w:color="auto" w:fill="FFFFFF"/>
        </w:rPr>
        <w:t>. L’area sarà allestita con la suggestiva ricostruzione di un giardino privato dove l’influencer Stefano Accorsi fornirà, secondo un programma giornaliero attualmente in via di definizione, un approfondimento tecnico circa le corrette modalità di impiego di alcune delle principali tipologie di attrezzature per la cura del verde.</w:t>
      </w:r>
    </w:p>
    <w:p w14:paraId="4E52DADA" w14:textId="77777777" w:rsidR="002A5AA3" w:rsidRPr="002A5AA3" w:rsidRDefault="002A5AA3" w:rsidP="002A5AA3">
      <w:pPr>
        <w:spacing w:after="0" w:line="240" w:lineRule="auto"/>
        <w:ind w:left="2268"/>
        <w:jc w:val="both"/>
        <w:rPr>
          <w:rFonts w:ascii="Times New Roman" w:eastAsia="Times New Roman" w:hAnsi="Times New Roman" w:cs="Times New Roman"/>
          <w:sz w:val="14"/>
          <w:szCs w:val="14"/>
          <w:lang w:eastAsia="it-IT"/>
        </w:rPr>
      </w:pPr>
    </w:p>
    <w:p w14:paraId="78E79208" w14:textId="079E5627" w:rsidR="0022462B" w:rsidRPr="00010F46" w:rsidRDefault="0022462B" w:rsidP="001269F8">
      <w:pPr>
        <w:ind w:left="2268"/>
        <w:jc w:val="both"/>
        <w:rPr>
          <w:rFonts w:ascii="Times New Roman" w:hAnsi="Times New Roman" w:cs="Times New Roman"/>
          <w:b/>
          <w:bCs/>
          <w:sz w:val="24"/>
          <w:szCs w:val="24"/>
        </w:rPr>
      </w:pPr>
      <w:r w:rsidRPr="00010F46">
        <w:rPr>
          <w:rFonts w:ascii="Times New Roman" w:hAnsi="Times New Roman" w:cs="Times New Roman"/>
          <w:b/>
          <w:bCs/>
          <w:sz w:val="24"/>
          <w:szCs w:val="24"/>
        </w:rPr>
        <w:t xml:space="preserve">Roma, </w:t>
      </w:r>
      <w:r w:rsidR="00CA2810">
        <w:rPr>
          <w:rFonts w:ascii="Times New Roman" w:hAnsi="Times New Roman" w:cs="Times New Roman"/>
          <w:b/>
          <w:bCs/>
          <w:sz w:val="24"/>
          <w:szCs w:val="24"/>
        </w:rPr>
        <w:t xml:space="preserve">4 </w:t>
      </w:r>
      <w:r w:rsidR="0073212E" w:rsidRPr="00010F46">
        <w:rPr>
          <w:rFonts w:ascii="Times New Roman" w:hAnsi="Times New Roman" w:cs="Times New Roman"/>
          <w:b/>
          <w:bCs/>
          <w:sz w:val="24"/>
          <w:szCs w:val="24"/>
        </w:rPr>
        <w:t xml:space="preserve"> novembre</w:t>
      </w:r>
      <w:r w:rsidRPr="00010F46">
        <w:rPr>
          <w:rFonts w:ascii="Times New Roman" w:hAnsi="Times New Roman" w:cs="Times New Roman"/>
          <w:b/>
          <w:bCs/>
          <w:sz w:val="24"/>
          <w:szCs w:val="24"/>
        </w:rPr>
        <w:t xml:space="preserve"> 2026</w:t>
      </w:r>
    </w:p>
    <w:p w14:paraId="31CC80F1" w14:textId="2085A13B" w:rsidR="00E9033B" w:rsidRPr="00D02C93" w:rsidRDefault="00E9033B" w:rsidP="0022462B">
      <w:pPr>
        <w:jc w:val="both"/>
        <w:rPr>
          <w:rFonts w:ascii="Times New Roman" w:hAnsi="Times New Roman" w:cs="Times New Roman"/>
          <w:sz w:val="23"/>
          <w:szCs w:val="23"/>
        </w:rPr>
      </w:pPr>
    </w:p>
    <w:sectPr w:rsidR="00E9033B" w:rsidRPr="00D02C93"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945C1" w14:textId="77777777" w:rsidR="00647351" w:rsidRDefault="00647351">
      <w:pPr>
        <w:spacing w:after="0" w:line="240" w:lineRule="auto"/>
      </w:pPr>
      <w:r>
        <w:separator/>
      </w:r>
    </w:p>
  </w:endnote>
  <w:endnote w:type="continuationSeparator" w:id="0">
    <w:p w14:paraId="5F0B3415" w14:textId="77777777" w:rsidR="00647351" w:rsidRDefault="00647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728035"/>
      <w:docPartObj>
        <w:docPartGallery w:val="Page Numbers (Bottom of Page)"/>
        <w:docPartUnique/>
      </w:docPartObj>
    </w:sdtPr>
    <w:sdtContent>
      <w:p w14:paraId="3374D75A" w14:textId="6D929616" w:rsidR="0073212E" w:rsidRDefault="0073212E">
        <w:pPr>
          <w:pStyle w:val="Pidipagina"/>
          <w:jc w:val="right"/>
        </w:pPr>
        <w:r>
          <w:fldChar w:fldCharType="begin"/>
        </w:r>
        <w:r>
          <w:instrText>PAGE   \* MERGEFORMAT</w:instrText>
        </w:r>
        <w:r>
          <w:fldChar w:fldCharType="separate"/>
        </w:r>
        <w:r>
          <w:t>2</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C86D3" w14:textId="77777777" w:rsidR="00647351" w:rsidRDefault="00647351">
      <w:pPr>
        <w:spacing w:after="0" w:line="240" w:lineRule="auto"/>
      </w:pPr>
      <w:r>
        <w:separator/>
      </w:r>
    </w:p>
  </w:footnote>
  <w:footnote w:type="continuationSeparator" w:id="0">
    <w:p w14:paraId="1ADA70E5" w14:textId="77777777" w:rsidR="00647351" w:rsidRDefault="00647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10F46"/>
    <w:rsid w:val="00024362"/>
    <w:rsid w:val="000301DA"/>
    <w:rsid w:val="00030E3C"/>
    <w:rsid w:val="00032732"/>
    <w:rsid w:val="00077B9F"/>
    <w:rsid w:val="000859E7"/>
    <w:rsid w:val="000A6A98"/>
    <w:rsid w:val="000C4409"/>
    <w:rsid w:val="000D6EA3"/>
    <w:rsid w:val="000D72CF"/>
    <w:rsid w:val="000E0195"/>
    <w:rsid w:val="000E53AF"/>
    <w:rsid w:val="00117F0C"/>
    <w:rsid w:val="00122D62"/>
    <w:rsid w:val="0012550A"/>
    <w:rsid w:val="001269F8"/>
    <w:rsid w:val="00132537"/>
    <w:rsid w:val="00150E3E"/>
    <w:rsid w:val="00176098"/>
    <w:rsid w:val="001815AD"/>
    <w:rsid w:val="00192108"/>
    <w:rsid w:val="001A07C0"/>
    <w:rsid w:val="001A523F"/>
    <w:rsid w:val="002058DE"/>
    <w:rsid w:val="00212BEB"/>
    <w:rsid w:val="00223A1E"/>
    <w:rsid w:val="0022462B"/>
    <w:rsid w:val="002432BE"/>
    <w:rsid w:val="00275B9C"/>
    <w:rsid w:val="002803A2"/>
    <w:rsid w:val="00282300"/>
    <w:rsid w:val="00286BB1"/>
    <w:rsid w:val="00291A0E"/>
    <w:rsid w:val="002949D3"/>
    <w:rsid w:val="00297040"/>
    <w:rsid w:val="002A2E24"/>
    <w:rsid w:val="002A5AA3"/>
    <w:rsid w:val="002B2D86"/>
    <w:rsid w:val="002D4418"/>
    <w:rsid w:val="002F0D75"/>
    <w:rsid w:val="00302C23"/>
    <w:rsid w:val="0030445C"/>
    <w:rsid w:val="00305DE1"/>
    <w:rsid w:val="00310B45"/>
    <w:rsid w:val="00323399"/>
    <w:rsid w:val="00335B2C"/>
    <w:rsid w:val="0035717D"/>
    <w:rsid w:val="00357578"/>
    <w:rsid w:val="003668B9"/>
    <w:rsid w:val="00394530"/>
    <w:rsid w:val="003E2E13"/>
    <w:rsid w:val="003F12A8"/>
    <w:rsid w:val="003F2E5D"/>
    <w:rsid w:val="003F6C78"/>
    <w:rsid w:val="0043541E"/>
    <w:rsid w:val="004379F0"/>
    <w:rsid w:val="00446399"/>
    <w:rsid w:val="00476F56"/>
    <w:rsid w:val="004B341F"/>
    <w:rsid w:val="004C655C"/>
    <w:rsid w:val="004E2F47"/>
    <w:rsid w:val="004E39DD"/>
    <w:rsid w:val="00504AB8"/>
    <w:rsid w:val="005133FD"/>
    <w:rsid w:val="0051366D"/>
    <w:rsid w:val="005150B3"/>
    <w:rsid w:val="005167D4"/>
    <w:rsid w:val="00527F3A"/>
    <w:rsid w:val="005665D2"/>
    <w:rsid w:val="00590319"/>
    <w:rsid w:val="00595FF6"/>
    <w:rsid w:val="005A064D"/>
    <w:rsid w:val="005A31FE"/>
    <w:rsid w:val="005B1DD8"/>
    <w:rsid w:val="005D3F28"/>
    <w:rsid w:val="005E2554"/>
    <w:rsid w:val="005F2D34"/>
    <w:rsid w:val="0060610C"/>
    <w:rsid w:val="00614574"/>
    <w:rsid w:val="00640C8F"/>
    <w:rsid w:val="00647351"/>
    <w:rsid w:val="00677303"/>
    <w:rsid w:val="006913A7"/>
    <w:rsid w:val="00692D3D"/>
    <w:rsid w:val="006974BC"/>
    <w:rsid w:val="006A13B5"/>
    <w:rsid w:val="006A1669"/>
    <w:rsid w:val="006B135F"/>
    <w:rsid w:val="006B1AE6"/>
    <w:rsid w:val="006B1EEB"/>
    <w:rsid w:val="006D5E48"/>
    <w:rsid w:val="007048B0"/>
    <w:rsid w:val="00716DBC"/>
    <w:rsid w:val="0073212E"/>
    <w:rsid w:val="00735BD4"/>
    <w:rsid w:val="00757C34"/>
    <w:rsid w:val="00762BA7"/>
    <w:rsid w:val="0077148B"/>
    <w:rsid w:val="007C6548"/>
    <w:rsid w:val="007C69C9"/>
    <w:rsid w:val="007D332B"/>
    <w:rsid w:val="007D7840"/>
    <w:rsid w:val="007E3772"/>
    <w:rsid w:val="007E50ED"/>
    <w:rsid w:val="007E62E6"/>
    <w:rsid w:val="007E7C48"/>
    <w:rsid w:val="007F0349"/>
    <w:rsid w:val="007F79F0"/>
    <w:rsid w:val="00801B1D"/>
    <w:rsid w:val="0080268E"/>
    <w:rsid w:val="00834C87"/>
    <w:rsid w:val="00835DB7"/>
    <w:rsid w:val="008441A6"/>
    <w:rsid w:val="0084633C"/>
    <w:rsid w:val="00870E2F"/>
    <w:rsid w:val="0087110F"/>
    <w:rsid w:val="00884CA8"/>
    <w:rsid w:val="008C1942"/>
    <w:rsid w:val="008F1B6E"/>
    <w:rsid w:val="009066B1"/>
    <w:rsid w:val="009130D7"/>
    <w:rsid w:val="00920778"/>
    <w:rsid w:val="00931EDF"/>
    <w:rsid w:val="009340E6"/>
    <w:rsid w:val="0093445D"/>
    <w:rsid w:val="00935306"/>
    <w:rsid w:val="0094410D"/>
    <w:rsid w:val="009766F1"/>
    <w:rsid w:val="00977697"/>
    <w:rsid w:val="00992D09"/>
    <w:rsid w:val="009934BB"/>
    <w:rsid w:val="00993B7D"/>
    <w:rsid w:val="00995E10"/>
    <w:rsid w:val="00995FE3"/>
    <w:rsid w:val="009C0530"/>
    <w:rsid w:val="009C4873"/>
    <w:rsid w:val="009E493F"/>
    <w:rsid w:val="009F4CC8"/>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C08A6"/>
    <w:rsid w:val="00BC65DE"/>
    <w:rsid w:val="00BD5EB0"/>
    <w:rsid w:val="00BE5595"/>
    <w:rsid w:val="00BE66F4"/>
    <w:rsid w:val="00BE6A0B"/>
    <w:rsid w:val="00BF3FAB"/>
    <w:rsid w:val="00C165B3"/>
    <w:rsid w:val="00C25B69"/>
    <w:rsid w:val="00C310D4"/>
    <w:rsid w:val="00C75EC8"/>
    <w:rsid w:val="00C823A0"/>
    <w:rsid w:val="00C8332D"/>
    <w:rsid w:val="00C851E2"/>
    <w:rsid w:val="00C921BF"/>
    <w:rsid w:val="00C951F8"/>
    <w:rsid w:val="00CA2810"/>
    <w:rsid w:val="00CB63E4"/>
    <w:rsid w:val="00CC36F9"/>
    <w:rsid w:val="00CC6414"/>
    <w:rsid w:val="00CD0E0F"/>
    <w:rsid w:val="00CD32D5"/>
    <w:rsid w:val="00CD6230"/>
    <w:rsid w:val="00CF1D0B"/>
    <w:rsid w:val="00D02C93"/>
    <w:rsid w:val="00D16473"/>
    <w:rsid w:val="00D21CAB"/>
    <w:rsid w:val="00D2563B"/>
    <w:rsid w:val="00D368BA"/>
    <w:rsid w:val="00D453D1"/>
    <w:rsid w:val="00D566E4"/>
    <w:rsid w:val="00D67FCE"/>
    <w:rsid w:val="00D84FB1"/>
    <w:rsid w:val="00DA1F14"/>
    <w:rsid w:val="00DD0832"/>
    <w:rsid w:val="00DD0B6A"/>
    <w:rsid w:val="00DF583D"/>
    <w:rsid w:val="00E35683"/>
    <w:rsid w:val="00E43E7A"/>
    <w:rsid w:val="00E6169C"/>
    <w:rsid w:val="00E65BDF"/>
    <w:rsid w:val="00E76B0C"/>
    <w:rsid w:val="00E80260"/>
    <w:rsid w:val="00E9033B"/>
    <w:rsid w:val="00ED72F2"/>
    <w:rsid w:val="00EE2597"/>
    <w:rsid w:val="00F02BA8"/>
    <w:rsid w:val="00F030A6"/>
    <w:rsid w:val="00F04658"/>
    <w:rsid w:val="00F04861"/>
    <w:rsid w:val="00F142A3"/>
    <w:rsid w:val="00F244D2"/>
    <w:rsid w:val="00F54AC7"/>
    <w:rsid w:val="00F7039F"/>
    <w:rsid w:val="00F86AB3"/>
    <w:rsid w:val="00F95571"/>
    <w:rsid w:val="00FA34C1"/>
    <w:rsid w:val="00FD58A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 w:id="146835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584</Words>
  <Characters>3330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Patrizia Menicucci</cp:lastModifiedBy>
  <cp:revision>2</cp:revision>
  <dcterms:created xsi:type="dcterms:W3CDTF">2026-11-03T18:55:00Z</dcterms:created>
  <dcterms:modified xsi:type="dcterms:W3CDTF">2026-11-03T18:55:00Z</dcterms:modified>
</cp:coreProperties>
</file>