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E0" w:rsidRDefault="00B14BE0" w:rsidP="005E1B07">
      <w:pPr>
        <w:pStyle w:val="Normale1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F75E18" w:rsidRDefault="00F75E18" w:rsidP="005E1B0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75E18" w:rsidRDefault="00F75E18" w:rsidP="005E1B0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F75E18" w:rsidRDefault="00F75E18" w:rsidP="005E1B0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B14BE0" w:rsidRPr="00B73438" w:rsidRDefault="001C4F96" w:rsidP="005E1B07">
      <w:pPr>
        <w:pStyle w:val="Normale1"/>
        <w:jc w:val="both"/>
      </w:pPr>
      <w:bookmarkStart w:id="0" w:name="_GoBack"/>
      <w:bookmarkEnd w:id="0"/>
      <w:r w:rsidRPr="00B73438">
        <w:rPr>
          <w:rFonts w:ascii="Times New Roman" w:eastAsia="Times New Roman" w:hAnsi="Times New Roman" w:cs="Times New Roman"/>
        </w:rPr>
        <w:t>Comunicato stampa</w:t>
      </w:r>
      <w:r w:rsidR="00773D1C" w:rsidRPr="00B73438">
        <w:rPr>
          <w:rFonts w:ascii="Times New Roman" w:eastAsia="Times New Roman" w:hAnsi="Times New Roman" w:cs="Times New Roman"/>
        </w:rPr>
        <w:t xml:space="preserve"> </w:t>
      </w:r>
      <w:r w:rsidR="00DF6A3C" w:rsidRPr="00B73438">
        <w:rPr>
          <w:rFonts w:ascii="Times New Roman" w:eastAsia="Times New Roman" w:hAnsi="Times New Roman" w:cs="Times New Roman"/>
        </w:rPr>
        <w:t xml:space="preserve">n. </w:t>
      </w:r>
      <w:r w:rsidR="00A942B0">
        <w:rPr>
          <w:rFonts w:ascii="Times New Roman" w:eastAsia="Times New Roman" w:hAnsi="Times New Roman" w:cs="Times New Roman"/>
        </w:rPr>
        <w:t>12</w:t>
      </w:r>
      <w:r w:rsidR="00B14BE0" w:rsidRPr="00B73438">
        <w:rPr>
          <w:rFonts w:ascii="Times New Roman" w:eastAsia="Times New Roman" w:hAnsi="Times New Roman" w:cs="Times New Roman"/>
        </w:rPr>
        <w:t xml:space="preserve">/2017  </w:t>
      </w:r>
    </w:p>
    <w:p w:rsidR="00773D1C" w:rsidRPr="00B73438" w:rsidRDefault="00773D1C" w:rsidP="00773D1C">
      <w:pPr>
        <w:jc w:val="both"/>
        <w:rPr>
          <w:rFonts w:ascii="Liberation Serif" w:eastAsia="Liberation Serif" w:hAnsi="Liberation Serif" w:cs="Liberation Serif"/>
          <w:b/>
          <w:color w:val="000000"/>
        </w:rPr>
      </w:pPr>
    </w:p>
    <w:p w:rsidR="00A942B0" w:rsidRDefault="00A942B0" w:rsidP="00A942B0">
      <w:pPr>
        <w:jc w:val="both"/>
        <w:rPr>
          <w:b/>
          <w:sz w:val="28"/>
          <w:szCs w:val="28"/>
        </w:rPr>
      </w:pPr>
      <w:r w:rsidRPr="00B73F69">
        <w:rPr>
          <w:b/>
          <w:sz w:val="28"/>
          <w:szCs w:val="28"/>
        </w:rPr>
        <w:t>Macchine agricole: impennata di vendite in Puglia</w:t>
      </w:r>
    </w:p>
    <w:p w:rsidR="00A942B0" w:rsidRPr="00B73F69" w:rsidRDefault="00A942B0" w:rsidP="00A942B0">
      <w:pPr>
        <w:jc w:val="both"/>
        <w:rPr>
          <w:b/>
          <w:sz w:val="28"/>
          <w:szCs w:val="28"/>
        </w:rPr>
      </w:pPr>
    </w:p>
    <w:p w:rsidR="00A942B0" w:rsidRDefault="00A942B0" w:rsidP="00A942B0">
      <w:pPr>
        <w:jc w:val="both"/>
        <w:rPr>
          <w:b/>
          <w:i/>
        </w:rPr>
      </w:pPr>
      <w:r w:rsidRPr="00B73F69">
        <w:rPr>
          <w:b/>
          <w:i/>
        </w:rPr>
        <w:t>Cresce vistosamente il mercato delle macchine agricole in Puglia. I dati relativi al periodo gennaio-settembre indicano un incremento delle vendite di trattrici pari al 31%, nettamente superiore rispetto al dato medio nazionale già particolarmente positivo (9,7%). In crescita anche altre tipologie di macchine grazie ad un buon utilizzo dei PSR, i fondi di Unione Europea/Regione che prevedono alcune misure specifiche per l’acquisto di macchine agricole.</w:t>
      </w:r>
    </w:p>
    <w:p w:rsidR="00A942B0" w:rsidRPr="00B73F69" w:rsidRDefault="00A942B0" w:rsidP="00A942B0">
      <w:pPr>
        <w:jc w:val="both"/>
        <w:rPr>
          <w:b/>
          <w:i/>
        </w:rPr>
      </w:pPr>
    </w:p>
    <w:p w:rsidR="00A942B0" w:rsidRPr="007D098D" w:rsidRDefault="00A942B0" w:rsidP="00A942B0">
      <w:pPr>
        <w:jc w:val="both"/>
      </w:pPr>
      <w:r w:rsidRPr="007D098D">
        <w:t>La ripresa del mercato delle trattrici, che si registra complessivamente a livello nazionale, vede andamenti particolarmente positivi in Puglia. Nel periodo gennaio-settembre 2017, a fronte di una media nazionale che segna un incremento delle vendite di trattrici pari al 9,7%, la Puglia mette a segno un +31,1% in ragione di 1.269 macchine immatricolate. Incrementi vistosi, sia pure riferiti a quantitativi di macchinario relativamente limitati, si riscontrano anche per le mietitrebbiatrici (+113,3%</w:t>
      </w:r>
      <w:r w:rsidR="00611AB9">
        <w:t>, con 32 macchine vendute, a fronte de</w:t>
      </w:r>
      <w:r w:rsidRPr="007D098D">
        <w:t>l dato nazionale che indica un passivo del 3,6%), e per i sollevatori telescopici (+17,4%, in riferimento a 27 unità vendute, dato anch’esso in controtendenza rispetto a quello nazionale che risulta in calo del 25,3%). Il b</w:t>
      </w:r>
      <w:r w:rsidR="00611AB9">
        <w:t xml:space="preserve">alzo in avanti della regione – </w:t>
      </w:r>
      <w:r w:rsidRPr="007D098D">
        <w:t xml:space="preserve">è stato spiegato nel corso della conferenza per la presentazione dell’edizione 2017 di </w:t>
      </w:r>
      <w:proofErr w:type="spellStart"/>
      <w:r w:rsidRPr="007D098D">
        <w:t>Agrilevante</w:t>
      </w:r>
      <w:proofErr w:type="spellEnd"/>
      <w:r>
        <w:t>, tenutasi questa mattina a Bari pre</w:t>
      </w:r>
      <w:r w:rsidR="00BE096E">
        <w:t>sso la sede regionale pugliese</w:t>
      </w:r>
      <w:r>
        <w:t xml:space="preserve"> </w:t>
      </w:r>
      <w:r w:rsidR="00611AB9">
        <w:t>–</w:t>
      </w:r>
      <w:r>
        <w:t xml:space="preserve"> </w:t>
      </w:r>
      <w:r w:rsidRPr="007D098D">
        <w:t>dipende in buona misu</w:t>
      </w:r>
      <w:r w:rsidR="00BE096E">
        <w:t>ra dall’efficienza dell’amministrazione</w:t>
      </w:r>
      <w:r w:rsidRPr="007D098D">
        <w:t xml:space="preserve"> nell’utilizzo dei P</w:t>
      </w:r>
      <w:r w:rsidR="00BE096E">
        <w:t xml:space="preserve">SR, i Piani di Sviluppo Rurale </w:t>
      </w:r>
      <w:r w:rsidRPr="007D098D">
        <w:t>cofinanziati da Unione Europea</w:t>
      </w:r>
      <w:r>
        <w:t xml:space="preserve"> e Regione</w:t>
      </w:r>
      <w:r w:rsidRPr="007D098D">
        <w:t>.</w:t>
      </w:r>
      <w:r>
        <w:t xml:space="preserve"> “</w:t>
      </w:r>
      <w:r w:rsidRPr="007D098D">
        <w:t>La ripresa del mercato in Puglia riavvia un processo di rinnovo de</w:t>
      </w:r>
      <w:r w:rsidR="00BE096E">
        <w:t>l</w:t>
      </w:r>
      <w:r w:rsidRPr="007D098D">
        <w:t xml:space="preserve"> parco agro-meccanico – ha spiegato nel proprio intervento</w:t>
      </w:r>
      <w:r w:rsidR="000E4CB7">
        <w:t xml:space="preserve"> il  Presidente di </w:t>
      </w:r>
      <w:proofErr w:type="spellStart"/>
      <w:r w:rsidR="000E4CB7">
        <w:t>FederUnacoma</w:t>
      </w:r>
      <w:proofErr w:type="spellEnd"/>
      <w:r w:rsidRPr="007D098D">
        <w:t xml:space="preserve"> Alessandro </w:t>
      </w:r>
      <w:proofErr w:type="spellStart"/>
      <w:r w:rsidRPr="007D098D">
        <w:t>Malavolti</w:t>
      </w:r>
      <w:proofErr w:type="spellEnd"/>
      <w:r w:rsidRPr="007D098D">
        <w:t xml:space="preserve"> – che appare necessario per</w:t>
      </w:r>
      <w:r w:rsidR="000E4CB7">
        <w:t xml:space="preserve"> rendere l’agricoltura </w:t>
      </w:r>
      <w:r w:rsidRPr="007D098D">
        <w:t>più competitiva in termini di produttività e di qualit</w:t>
      </w:r>
      <w:r w:rsidR="000E4CB7">
        <w:t>à</w:t>
      </w:r>
      <w:r>
        <w:t>”</w:t>
      </w:r>
      <w:r w:rsidRPr="007D098D">
        <w:t xml:space="preserve">. </w:t>
      </w:r>
      <w:r w:rsidR="003F5558">
        <w:t>Sul territorio pugliese</w:t>
      </w:r>
      <w:r w:rsidRPr="007D098D">
        <w:t xml:space="preserve"> si stima siano in funzione circa 139 mila trattrici (pari al 7% del totale nazionale che assomma a circa 2.025.000 unità) concentrate prevalentemente nella provincia di</w:t>
      </w:r>
      <w:r w:rsidR="003F5558">
        <w:t xml:space="preserve"> Foggia (30% del parco totale pugliese</w:t>
      </w:r>
      <w:r w:rsidRPr="007D098D">
        <w:t>), e nella provincia di Bari (27%), seguite da Taranto (15%) e con percentuali decrescenti da Barletta-Andria-Trani, Brindisi e Lecce.</w:t>
      </w:r>
    </w:p>
    <w:p w:rsidR="00773D1C" w:rsidRPr="001C4F96" w:rsidRDefault="00773D1C" w:rsidP="005E1B07">
      <w:pPr>
        <w:jc w:val="both"/>
      </w:pPr>
    </w:p>
    <w:p w:rsidR="00604641" w:rsidRPr="005E1B07" w:rsidRDefault="00FE2757" w:rsidP="005E1B07">
      <w:pPr>
        <w:jc w:val="both"/>
        <w:rPr>
          <w:b/>
          <w:lang w:val="en-US"/>
        </w:rPr>
      </w:pPr>
      <w:r>
        <w:rPr>
          <w:b/>
          <w:lang w:val="en-US"/>
        </w:rPr>
        <w:t>Bari</w:t>
      </w:r>
      <w:r w:rsidR="001C4F96">
        <w:rPr>
          <w:b/>
          <w:lang w:val="en-US"/>
        </w:rPr>
        <w:t xml:space="preserve">, </w:t>
      </w:r>
      <w:r>
        <w:rPr>
          <w:b/>
          <w:lang w:val="en-US"/>
        </w:rPr>
        <w:t>10</w:t>
      </w:r>
      <w:r w:rsidR="00E42BBC">
        <w:rPr>
          <w:b/>
          <w:lang w:val="en-US"/>
        </w:rPr>
        <w:t xml:space="preserve"> </w:t>
      </w:r>
      <w:proofErr w:type="spellStart"/>
      <w:r w:rsidR="001C4F96">
        <w:rPr>
          <w:b/>
          <w:lang w:val="en-US"/>
        </w:rPr>
        <w:t>ottobre</w:t>
      </w:r>
      <w:proofErr w:type="spellEnd"/>
      <w:r w:rsidR="00304ABD">
        <w:rPr>
          <w:b/>
          <w:lang w:val="en-US"/>
        </w:rPr>
        <w:t xml:space="preserve"> </w:t>
      </w:r>
      <w:r>
        <w:rPr>
          <w:b/>
          <w:lang w:val="en-US"/>
        </w:rPr>
        <w:t xml:space="preserve"> 2017</w:t>
      </w:r>
    </w:p>
    <w:sectPr w:rsidR="00604641" w:rsidRPr="005E1B07" w:rsidSect="003A2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28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0E" w:rsidRDefault="008B130E">
      <w:r>
        <w:separator/>
      </w:r>
    </w:p>
  </w:endnote>
  <w:endnote w:type="continuationSeparator" w:id="0">
    <w:p w:rsidR="008B130E" w:rsidRDefault="008B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942381"/>
      <w:docPartObj>
        <w:docPartGallery w:val="Page Numbers (Bottom of Page)"/>
        <w:docPartUnique/>
      </w:docPartObj>
    </w:sdtPr>
    <w:sdtEndPr/>
    <w:sdtContent>
      <w:p w:rsidR="0042382F" w:rsidRDefault="004238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57">
          <w:rPr>
            <w:noProof/>
          </w:rPr>
          <w:t>2</w:t>
        </w:r>
        <w:r>
          <w:fldChar w:fldCharType="end"/>
        </w:r>
      </w:p>
    </w:sdtContent>
  </w:sdt>
  <w:p w:rsidR="00B14BE0" w:rsidRDefault="00B14B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0E" w:rsidRDefault="008B130E">
      <w:r>
        <w:separator/>
      </w:r>
    </w:p>
  </w:footnote>
  <w:footnote w:type="continuationSeparator" w:id="0">
    <w:p w:rsidR="008B130E" w:rsidRDefault="008B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41" w:rsidRDefault="00A65336">
    <w:pPr>
      <w:pStyle w:val="Intestazione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-2026285</wp:posOffset>
          </wp:positionH>
          <wp:positionV relativeFrom="paragraph">
            <wp:posOffset>-388620</wp:posOffset>
          </wp:positionV>
          <wp:extent cx="7601585" cy="10744200"/>
          <wp:effectExtent l="19050" t="0" r="0" b="0"/>
          <wp:wrapNone/>
          <wp:docPr id="30" name="Immagine 30" descr="CI Federunacoma Surl AG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I Federunacoma Surl AGR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A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C5C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A850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41E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D54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3007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9406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9a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7"/>
    <w:rsid w:val="000625F8"/>
    <w:rsid w:val="000E4CB7"/>
    <w:rsid w:val="00131680"/>
    <w:rsid w:val="00162BE3"/>
    <w:rsid w:val="001C4F96"/>
    <w:rsid w:val="001F7A7C"/>
    <w:rsid w:val="001F7FEA"/>
    <w:rsid w:val="00201BF7"/>
    <w:rsid w:val="00206A25"/>
    <w:rsid w:val="00211418"/>
    <w:rsid w:val="0028480D"/>
    <w:rsid w:val="002A6083"/>
    <w:rsid w:val="00304ABD"/>
    <w:rsid w:val="0036282B"/>
    <w:rsid w:val="003A2106"/>
    <w:rsid w:val="003D252F"/>
    <w:rsid w:val="003F5558"/>
    <w:rsid w:val="0040339F"/>
    <w:rsid w:val="0042113E"/>
    <w:rsid w:val="00421F31"/>
    <w:rsid w:val="0042382F"/>
    <w:rsid w:val="004C219C"/>
    <w:rsid w:val="00531DD2"/>
    <w:rsid w:val="00537EC4"/>
    <w:rsid w:val="005E1B07"/>
    <w:rsid w:val="00604641"/>
    <w:rsid w:val="00611AB9"/>
    <w:rsid w:val="00651D27"/>
    <w:rsid w:val="006A0DFF"/>
    <w:rsid w:val="00716769"/>
    <w:rsid w:val="007730E1"/>
    <w:rsid w:val="00773D1C"/>
    <w:rsid w:val="007A33A7"/>
    <w:rsid w:val="008153E6"/>
    <w:rsid w:val="008B130E"/>
    <w:rsid w:val="008D375C"/>
    <w:rsid w:val="009326D2"/>
    <w:rsid w:val="009837DF"/>
    <w:rsid w:val="009A4B75"/>
    <w:rsid w:val="009B3E14"/>
    <w:rsid w:val="009D5714"/>
    <w:rsid w:val="009E210D"/>
    <w:rsid w:val="00A65336"/>
    <w:rsid w:val="00A7747E"/>
    <w:rsid w:val="00A942B0"/>
    <w:rsid w:val="00AF48F6"/>
    <w:rsid w:val="00B14BE0"/>
    <w:rsid w:val="00B56486"/>
    <w:rsid w:val="00B63BB3"/>
    <w:rsid w:val="00B73438"/>
    <w:rsid w:val="00B85A7A"/>
    <w:rsid w:val="00BD2E6F"/>
    <w:rsid w:val="00BE096E"/>
    <w:rsid w:val="00C1182F"/>
    <w:rsid w:val="00C416D1"/>
    <w:rsid w:val="00CD5C4F"/>
    <w:rsid w:val="00DD4DD1"/>
    <w:rsid w:val="00DF6A3C"/>
    <w:rsid w:val="00E42BBC"/>
    <w:rsid w:val="00E56406"/>
    <w:rsid w:val="00F33BF1"/>
    <w:rsid w:val="00F75E18"/>
    <w:rsid w:val="00F76383"/>
    <w:rsid w:val="00FA4C71"/>
    <w:rsid w:val="00FB6363"/>
    <w:rsid w:val="00FE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a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grilevante\CS%2016%20febbraio%202017\Comunicato%20stampa%20Agrilevante%20Innovazioni%20mirate%20la%20strategia%20di%20Agrilevante%2016%20febbraio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Agrilevante Innovazioni mirate la strategia di Agrilevante 16 febbraio 2017</Template>
  <TotalTime>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19</cp:revision>
  <cp:lastPrinted>2017-10-06T23:21:00Z</cp:lastPrinted>
  <dcterms:created xsi:type="dcterms:W3CDTF">2017-10-06T22:15:00Z</dcterms:created>
  <dcterms:modified xsi:type="dcterms:W3CDTF">2017-10-06T23:21:00Z</dcterms:modified>
</cp:coreProperties>
</file>