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562" w:rsidRDefault="007434A4" w:rsidP="005A6530">
      <w:pPr>
        <w:rPr>
          <w:sz w:val="32"/>
        </w:rPr>
      </w:pPr>
      <w:r>
        <w:rPr>
          <w:noProof/>
          <w:sz w:val="32"/>
          <w:lang w:eastAsia="it-IT"/>
        </w:rPr>
        <w:drawing>
          <wp:inline distT="0" distB="0" distL="0" distR="0">
            <wp:extent cx="2162810" cy="715645"/>
            <wp:effectExtent l="0" t="0" r="8890" b="8255"/>
            <wp:docPr id="4" name="Immagine 4" descr="C:\Users\bonvicini\Desktop\LogoBolognaFier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nvicini\Desktop\LogoBolognaFiere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4A4" w:rsidRDefault="007434A4" w:rsidP="005A6530">
      <w:pPr>
        <w:rPr>
          <w:rFonts w:ascii="Helvetica" w:hAnsi="Helvetica"/>
          <w:b/>
          <w:sz w:val="28"/>
          <w:szCs w:val="28"/>
        </w:rPr>
      </w:pPr>
    </w:p>
    <w:p w:rsidR="00125562" w:rsidRPr="007434A4" w:rsidRDefault="0068213B" w:rsidP="005A6530">
      <w:pPr>
        <w:rPr>
          <w:rFonts w:ascii="Helvetica" w:hAnsi="Helvetica"/>
          <w:b/>
          <w:sz w:val="28"/>
          <w:szCs w:val="28"/>
        </w:rPr>
      </w:pPr>
      <w:bookmarkStart w:id="0" w:name="_GoBack"/>
      <w:r>
        <w:rPr>
          <w:rFonts w:ascii="Helvetica" w:hAnsi="Helvetica"/>
          <w:b/>
          <w:sz w:val="28"/>
          <w:szCs w:val="28"/>
        </w:rPr>
        <w:t>L</w:t>
      </w:r>
      <w:r w:rsidRPr="007434A4">
        <w:rPr>
          <w:rFonts w:ascii="Helvetica" w:hAnsi="Helvetica"/>
          <w:b/>
          <w:sz w:val="28"/>
          <w:szCs w:val="28"/>
        </w:rPr>
        <w:t>’indot</w:t>
      </w:r>
      <w:r>
        <w:rPr>
          <w:rFonts w:ascii="Helvetica" w:hAnsi="Helvetica"/>
          <w:b/>
          <w:sz w:val="28"/>
          <w:szCs w:val="28"/>
        </w:rPr>
        <w:t xml:space="preserve">to economico </w:t>
      </w:r>
      <w:proofErr w:type="spellStart"/>
      <w:r>
        <w:rPr>
          <w:rFonts w:ascii="Helvetica" w:hAnsi="Helvetica"/>
          <w:b/>
          <w:sz w:val="28"/>
          <w:szCs w:val="28"/>
        </w:rPr>
        <w:t>dell’attivita’</w:t>
      </w:r>
      <w:proofErr w:type="spellEnd"/>
      <w:r>
        <w:rPr>
          <w:rFonts w:ascii="Helvetica" w:hAnsi="Helvetica"/>
          <w:b/>
          <w:sz w:val="28"/>
          <w:szCs w:val="28"/>
        </w:rPr>
        <w:t xml:space="preserve"> di </w:t>
      </w:r>
      <w:proofErr w:type="spellStart"/>
      <w:r>
        <w:rPr>
          <w:rFonts w:ascii="Helvetica" w:hAnsi="Helvetica"/>
          <w:b/>
          <w:sz w:val="28"/>
          <w:szCs w:val="28"/>
        </w:rPr>
        <w:t>BolognaF</w:t>
      </w:r>
      <w:r w:rsidRPr="007434A4">
        <w:rPr>
          <w:rFonts w:ascii="Helvetica" w:hAnsi="Helvetica"/>
          <w:b/>
          <w:sz w:val="28"/>
          <w:szCs w:val="28"/>
        </w:rPr>
        <w:t>iere</w:t>
      </w:r>
      <w:proofErr w:type="spellEnd"/>
      <w:r w:rsidRPr="007434A4">
        <w:rPr>
          <w:rFonts w:ascii="Helvetica" w:hAnsi="Helvetica"/>
          <w:b/>
          <w:sz w:val="28"/>
          <w:szCs w:val="28"/>
        </w:rPr>
        <w:t xml:space="preserve"> sul territorio</w:t>
      </w:r>
    </w:p>
    <w:bookmarkEnd w:id="0"/>
    <w:p w:rsidR="007434A4" w:rsidRDefault="007434A4" w:rsidP="002E22DA">
      <w:pPr>
        <w:jc w:val="both"/>
        <w:rPr>
          <w:rFonts w:ascii="Helvetica" w:hAnsi="Helvetica"/>
        </w:rPr>
      </w:pPr>
    </w:p>
    <w:p w:rsidR="005D4BB1" w:rsidRPr="007434A4" w:rsidRDefault="005A6530" w:rsidP="002E22DA">
      <w:pPr>
        <w:jc w:val="both"/>
        <w:rPr>
          <w:rFonts w:ascii="Helvetica" w:hAnsi="Helvetica"/>
          <w:sz w:val="24"/>
        </w:rPr>
      </w:pPr>
      <w:r w:rsidRPr="007434A4">
        <w:rPr>
          <w:rFonts w:ascii="Helvetica" w:hAnsi="Helvetica"/>
          <w:sz w:val="24"/>
        </w:rPr>
        <w:t>L’attività di BolognaFiere – secondo Quartiere fieristico italiano, fra i primi a livello Europeo e internazionale – vede la partecipazione annuale</w:t>
      </w:r>
      <w:r w:rsidR="00DC03B7" w:rsidRPr="007434A4">
        <w:rPr>
          <w:rFonts w:ascii="Helvetica" w:hAnsi="Helvetica"/>
          <w:sz w:val="24"/>
        </w:rPr>
        <w:t>,</w:t>
      </w:r>
      <w:r w:rsidRPr="007434A4">
        <w:rPr>
          <w:rFonts w:ascii="Helvetica" w:hAnsi="Helvetica"/>
          <w:sz w:val="24"/>
        </w:rPr>
        <w:t xml:space="preserve"> </w:t>
      </w:r>
      <w:r w:rsidR="00DC03B7" w:rsidRPr="007434A4">
        <w:rPr>
          <w:rFonts w:ascii="Helvetica" w:hAnsi="Helvetica"/>
          <w:sz w:val="24"/>
        </w:rPr>
        <w:t xml:space="preserve">per la sola capogruppo </w:t>
      </w:r>
      <w:proofErr w:type="spellStart"/>
      <w:r w:rsidR="00DC03B7" w:rsidRPr="007434A4">
        <w:rPr>
          <w:rFonts w:ascii="Helvetica" w:hAnsi="Helvetica"/>
          <w:sz w:val="24"/>
        </w:rPr>
        <w:t>BolognFiere</w:t>
      </w:r>
      <w:proofErr w:type="spellEnd"/>
      <w:r w:rsidR="00DC03B7" w:rsidRPr="007434A4">
        <w:rPr>
          <w:rFonts w:ascii="Helvetica" w:hAnsi="Helvetica"/>
          <w:sz w:val="24"/>
        </w:rPr>
        <w:t xml:space="preserve">, </w:t>
      </w:r>
      <w:r w:rsidRPr="007434A4">
        <w:rPr>
          <w:rFonts w:ascii="Helvetica" w:hAnsi="Helvetica"/>
          <w:sz w:val="24"/>
        </w:rPr>
        <w:t xml:space="preserve">di </w:t>
      </w:r>
      <w:r w:rsidR="00125562" w:rsidRPr="007434A4">
        <w:rPr>
          <w:rFonts w:ascii="Helvetica" w:hAnsi="Helvetica"/>
          <w:sz w:val="24"/>
        </w:rPr>
        <w:t>più di</w:t>
      </w:r>
      <w:r w:rsidRPr="007434A4">
        <w:rPr>
          <w:rFonts w:ascii="Helvetica" w:hAnsi="Helvetica"/>
          <w:sz w:val="24"/>
        </w:rPr>
        <w:t xml:space="preserve"> </w:t>
      </w:r>
      <w:r w:rsidR="00DC03B7" w:rsidRPr="007434A4">
        <w:rPr>
          <w:rFonts w:ascii="Helvetica" w:hAnsi="Helvetica"/>
          <w:sz w:val="24"/>
        </w:rPr>
        <w:t xml:space="preserve">1,3 milioni di </w:t>
      </w:r>
      <w:r w:rsidRPr="007434A4">
        <w:rPr>
          <w:rFonts w:ascii="Helvetica" w:hAnsi="Helvetica"/>
          <w:sz w:val="24"/>
        </w:rPr>
        <w:t xml:space="preserve">operatori e </w:t>
      </w:r>
      <w:r w:rsidR="00DC03B7" w:rsidRPr="007434A4">
        <w:rPr>
          <w:rFonts w:ascii="Helvetica" w:hAnsi="Helvetica"/>
          <w:sz w:val="24"/>
        </w:rPr>
        <w:t>14.000 espositori</w:t>
      </w:r>
      <w:r w:rsidR="00A2014E" w:rsidRPr="007434A4">
        <w:rPr>
          <w:rFonts w:ascii="Helvetica" w:hAnsi="Helvetica"/>
          <w:sz w:val="24"/>
        </w:rPr>
        <w:t xml:space="preserve"> di cui il </w:t>
      </w:r>
      <w:r w:rsidR="00DC03B7" w:rsidRPr="007434A4">
        <w:rPr>
          <w:rFonts w:ascii="Helvetica" w:hAnsi="Helvetica"/>
          <w:sz w:val="24"/>
        </w:rPr>
        <w:t>35% esteri</w:t>
      </w:r>
      <w:r w:rsidR="00A2014E" w:rsidRPr="007434A4">
        <w:rPr>
          <w:rFonts w:ascii="Helvetica" w:hAnsi="Helvetica"/>
          <w:sz w:val="24"/>
        </w:rPr>
        <w:t xml:space="preserve"> (Fonte EMECA </w:t>
      </w:r>
      <w:proofErr w:type="spellStart"/>
      <w:r w:rsidR="00A2014E" w:rsidRPr="007434A4">
        <w:rPr>
          <w:rFonts w:ascii="Helvetica" w:hAnsi="Helvetica"/>
          <w:sz w:val="24"/>
        </w:rPr>
        <w:t>European</w:t>
      </w:r>
      <w:proofErr w:type="spellEnd"/>
      <w:r w:rsidR="00A2014E" w:rsidRPr="007434A4">
        <w:rPr>
          <w:rFonts w:ascii="Helvetica" w:hAnsi="Helvetica"/>
          <w:sz w:val="24"/>
        </w:rPr>
        <w:t xml:space="preserve"> Major </w:t>
      </w:r>
      <w:proofErr w:type="spellStart"/>
      <w:r w:rsidR="00A2014E" w:rsidRPr="007434A4">
        <w:rPr>
          <w:rFonts w:ascii="Helvetica" w:hAnsi="Helvetica"/>
          <w:sz w:val="24"/>
        </w:rPr>
        <w:t>Exhibition</w:t>
      </w:r>
      <w:proofErr w:type="spellEnd"/>
      <w:r w:rsidR="00A2014E" w:rsidRPr="007434A4">
        <w:rPr>
          <w:rFonts w:ascii="Helvetica" w:hAnsi="Helvetica"/>
          <w:sz w:val="24"/>
        </w:rPr>
        <w:t xml:space="preserve"> Centres </w:t>
      </w:r>
      <w:proofErr w:type="spellStart"/>
      <w:r w:rsidR="00A2014E" w:rsidRPr="007434A4">
        <w:rPr>
          <w:rFonts w:ascii="Helvetica" w:hAnsi="Helvetica"/>
          <w:sz w:val="24"/>
        </w:rPr>
        <w:t>Association</w:t>
      </w:r>
      <w:proofErr w:type="spellEnd"/>
      <w:r w:rsidR="00A2014E" w:rsidRPr="007434A4">
        <w:rPr>
          <w:rFonts w:ascii="Helvetica" w:hAnsi="Helvetica"/>
          <w:sz w:val="24"/>
        </w:rPr>
        <w:t>, 2015)</w:t>
      </w:r>
      <w:r w:rsidRPr="007434A4">
        <w:rPr>
          <w:rFonts w:ascii="Helvetica" w:hAnsi="Helvetica"/>
          <w:sz w:val="24"/>
        </w:rPr>
        <w:t xml:space="preserve">. </w:t>
      </w:r>
    </w:p>
    <w:p w:rsidR="005A6530" w:rsidRPr="007434A4" w:rsidRDefault="005A6530" w:rsidP="002E22DA">
      <w:pPr>
        <w:jc w:val="both"/>
        <w:rPr>
          <w:rFonts w:ascii="Helvetica" w:hAnsi="Helvetica"/>
          <w:sz w:val="24"/>
        </w:rPr>
      </w:pPr>
      <w:r w:rsidRPr="007434A4">
        <w:rPr>
          <w:rFonts w:ascii="Helvetica" w:hAnsi="Helvetica"/>
          <w:sz w:val="24"/>
        </w:rPr>
        <w:t>Oltre 80 le manifestazioni nel portafoglio della Società</w:t>
      </w:r>
      <w:r w:rsidR="00FB1338" w:rsidRPr="007434A4">
        <w:rPr>
          <w:rFonts w:ascii="Helvetica" w:hAnsi="Helvetica"/>
          <w:sz w:val="24"/>
        </w:rPr>
        <w:t xml:space="preserve"> (Capogruppo)</w:t>
      </w:r>
      <w:r w:rsidRPr="007434A4">
        <w:rPr>
          <w:rFonts w:ascii="Helvetica" w:hAnsi="Helvetica"/>
          <w:sz w:val="24"/>
        </w:rPr>
        <w:t xml:space="preserve"> in Italia e all’estero, per la quas</w:t>
      </w:r>
      <w:r w:rsidR="00DC03B7" w:rsidRPr="007434A4">
        <w:rPr>
          <w:rFonts w:ascii="Helvetica" w:hAnsi="Helvetica"/>
          <w:sz w:val="24"/>
        </w:rPr>
        <w:t>i totalità business to business,</w:t>
      </w:r>
      <w:r w:rsidR="00FB1338" w:rsidRPr="007434A4">
        <w:rPr>
          <w:rFonts w:ascii="Helvetica" w:hAnsi="Helvetica"/>
          <w:sz w:val="24"/>
        </w:rPr>
        <w:t xml:space="preserve"> </w:t>
      </w:r>
      <w:r w:rsidRPr="007434A4">
        <w:rPr>
          <w:rFonts w:ascii="Helvetica" w:hAnsi="Helvetica"/>
          <w:sz w:val="24"/>
        </w:rPr>
        <w:t xml:space="preserve">in cui trovano espressione i maggiori distretti industriali italiani, dalla cosmesi all’agroindustria, </w:t>
      </w:r>
      <w:proofErr w:type="spellStart"/>
      <w:r w:rsidRPr="007434A4">
        <w:rPr>
          <w:rFonts w:ascii="Helvetica" w:hAnsi="Helvetica"/>
          <w:sz w:val="24"/>
        </w:rPr>
        <w:t>dall’automotive</w:t>
      </w:r>
      <w:proofErr w:type="spellEnd"/>
      <w:r w:rsidRPr="007434A4">
        <w:rPr>
          <w:rFonts w:ascii="Helvetica" w:hAnsi="Helvetica"/>
          <w:sz w:val="24"/>
        </w:rPr>
        <w:t xml:space="preserve"> alle costruzioni, dal biologico/naturale alla ceramica e arredo-bagno fino alla cultura, solo per citarne alcune.</w:t>
      </w:r>
    </w:p>
    <w:p w:rsidR="00A22E9E" w:rsidRPr="007434A4" w:rsidRDefault="00A22E9E" w:rsidP="00FB1338">
      <w:pPr>
        <w:pStyle w:val="Testonormale"/>
        <w:jc w:val="both"/>
        <w:rPr>
          <w:rFonts w:ascii="Helvetica" w:hAnsi="Helvetica"/>
          <w:sz w:val="24"/>
          <w:szCs w:val="22"/>
        </w:rPr>
      </w:pPr>
      <w:r w:rsidRPr="007434A4">
        <w:rPr>
          <w:rFonts w:ascii="Helvetica" w:hAnsi="Helvetica"/>
          <w:sz w:val="24"/>
          <w:szCs w:val="22"/>
        </w:rPr>
        <w:t xml:space="preserve">L'attività caratteristica di </w:t>
      </w:r>
      <w:proofErr w:type="gramStart"/>
      <w:r w:rsidRPr="007434A4">
        <w:rPr>
          <w:rFonts w:ascii="Helvetica" w:hAnsi="Helvetica"/>
          <w:sz w:val="24"/>
          <w:szCs w:val="22"/>
        </w:rPr>
        <w:t>BolognaFiere  ha</w:t>
      </w:r>
      <w:proofErr w:type="gramEnd"/>
      <w:r w:rsidRPr="007434A4">
        <w:rPr>
          <w:rFonts w:ascii="Helvetica" w:hAnsi="Helvetica"/>
          <w:sz w:val="24"/>
          <w:szCs w:val="22"/>
        </w:rPr>
        <w:t xml:space="preserve">  come obiettivo di rispondere alle esigenze delle business community di riferimento che oggi, nelle fiere, cercano un interlocutore flessibile, che metta a loro disposizione un’ampia gamma di servizi e di attività culturali </w:t>
      </w:r>
      <w:r w:rsidR="00FB1338" w:rsidRPr="007434A4">
        <w:rPr>
          <w:rFonts w:ascii="Helvetica" w:hAnsi="Helvetica"/>
          <w:sz w:val="24"/>
          <w:szCs w:val="22"/>
        </w:rPr>
        <w:t>a completamento del</w:t>
      </w:r>
      <w:r w:rsidRPr="007434A4">
        <w:rPr>
          <w:rFonts w:ascii="Helvetica" w:hAnsi="Helvetica"/>
          <w:sz w:val="24"/>
          <w:szCs w:val="22"/>
        </w:rPr>
        <w:t xml:space="preserve">l'esperienza fieristica. Un </w:t>
      </w:r>
      <w:r w:rsidRPr="007434A4">
        <w:rPr>
          <w:rFonts w:ascii="Helvetica" w:hAnsi="Helvetica"/>
          <w:i/>
          <w:sz w:val="24"/>
          <w:szCs w:val="22"/>
        </w:rPr>
        <w:t>unicum</w:t>
      </w:r>
      <w:r w:rsidRPr="007434A4">
        <w:rPr>
          <w:rFonts w:ascii="Helvetica" w:hAnsi="Helvetica"/>
          <w:sz w:val="24"/>
          <w:szCs w:val="22"/>
        </w:rPr>
        <w:t xml:space="preserve"> in cui sviluppare contatti commerciali, concentrare gli ambiti di formazione e informazione professionale, fruire delle opportunità turistiche del territorio.</w:t>
      </w:r>
    </w:p>
    <w:p w:rsidR="00A22E9E" w:rsidRPr="007434A4" w:rsidRDefault="00A22E9E" w:rsidP="00FB1338">
      <w:pPr>
        <w:pStyle w:val="Testonormale"/>
        <w:jc w:val="both"/>
        <w:rPr>
          <w:rFonts w:ascii="Helvetica" w:hAnsi="Helvetica"/>
          <w:sz w:val="24"/>
          <w:szCs w:val="22"/>
        </w:rPr>
      </w:pPr>
    </w:p>
    <w:p w:rsidR="00A22E9E" w:rsidRPr="007434A4" w:rsidRDefault="00A22E9E" w:rsidP="00FB1338">
      <w:pPr>
        <w:pStyle w:val="Testonormale"/>
        <w:jc w:val="both"/>
        <w:rPr>
          <w:rFonts w:ascii="Helvetica" w:hAnsi="Helvetica"/>
          <w:sz w:val="24"/>
          <w:szCs w:val="22"/>
        </w:rPr>
      </w:pPr>
      <w:r w:rsidRPr="007434A4">
        <w:rPr>
          <w:rFonts w:ascii="Helvetica" w:hAnsi="Helvetica"/>
          <w:sz w:val="24"/>
          <w:szCs w:val="22"/>
        </w:rPr>
        <w:t>Una Fiera, quindi, che dà nuovi stimoli, offre l'opportunità di stringere relazioni e di ottenere informazioni sull'andamento del settore oggetto della manifestazione.</w:t>
      </w:r>
    </w:p>
    <w:p w:rsidR="00A22E9E" w:rsidRPr="007434A4" w:rsidRDefault="00A22E9E" w:rsidP="00FB1338">
      <w:pPr>
        <w:pStyle w:val="Testonormale"/>
        <w:jc w:val="both"/>
        <w:rPr>
          <w:rFonts w:ascii="Helvetica" w:hAnsi="Helvetica"/>
          <w:sz w:val="24"/>
          <w:szCs w:val="22"/>
        </w:rPr>
      </w:pPr>
      <w:r w:rsidRPr="007434A4">
        <w:rPr>
          <w:rFonts w:ascii="Helvetica" w:hAnsi="Helvetica"/>
          <w:sz w:val="24"/>
          <w:szCs w:val="22"/>
        </w:rPr>
        <w:t>Un player fieristico in grado di interpretare anticipandoli i segnali che arrivano dal mercato.</w:t>
      </w:r>
    </w:p>
    <w:p w:rsidR="00A22E9E" w:rsidRPr="007434A4" w:rsidRDefault="00A22E9E" w:rsidP="00A22E9E">
      <w:pPr>
        <w:jc w:val="both"/>
        <w:rPr>
          <w:rFonts w:ascii="Helvetica" w:hAnsi="Helvetica"/>
          <w:sz w:val="24"/>
        </w:rPr>
      </w:pPr>
    </w:p>
    <w:p w:rsidR="00A22E9E" w:rsidRPr="007434A4" w:rsidRDefault="00A22E9E" w:rsidP="00A22E9E">
      <w:pPr>
        <w:jc w:val="both"/>
        <w:rPr>
          <w:rFonts w:ascii="Helvetica" w:hAnsi="Helvetica"/>
          <w:sz w:val="24"/>
        </w:rPr>
      </w:pPr>
      <w:r w:rsidRPr="007434A4">
        <w:rPr>
          <w:rFonts w:ascii="Helvetica" w:hAnsi="Helvetica"/>
          <w:sz w:val="24"/>
        </w:rPr>
        <w:t>BolognaFiere è una realtà fortemente integrata nel territorio, con una posizione baricentrica sui principali assi di collegamento nazionali e internazionali, al centro di una rete infrastrutturale che la vede collegata – con alta velocità, rete autostradale e aeroporto internazionale – alle principali destinazioni italiane ed estere, BolognaFiere è un importante strumento a disposizione delle imprese del nostro Paese per sviluppo al business e l’internazionalizzazione.</w:t>
      </w:r>
    </w:p>
    <w:p w:rsidR="00FB346B" w:rsidRPr="007434A4" w:rsidRDefault="00FB346B" w:rsidP="002E22DA">
      <w:pPr>
        <w:jc w:val="both"/>
        <w:rPr>
          <w:rFonts w:ascii="Helvetica" w:hAnsi="Helvetica"/>
          <w:sz w:val="24"/>
        </w:rPr>
      </w:pPr>
      <w:r w:rsidRPr="007434A4">
        <w:rPr>
          <w:rFonts w:ascii="Helvetica" w:hAnsi="Helvetica"/>
          <w:sz w:val="24"/>
        </w:rPr>
        <w:t xml:space="preserve">Decisamente incisivo </w:t>
      </w:r>
      <w:r w:rsidR="00A22E9E" w:rsidRPr="007434A4">
        <w:rPr>
          <w:rFonts w:ascii="Helvetica" w:hAnsi="Helvetica"/>
          <w:sz w:val="24"/>
        </w:rPr>
        <w:t xml:space="preserve">il suo </w:t>
      </w:r>
      <w:r w:rsidRPr="007434A4">
        <w:rPr>
          <w:rFonts w:ascii="Helvetica" w:hAnsi="Helvetica"/>
          <w:sz w:val="24"/>
        </w:rPr>
        <w:t>indotto sul</w:t>
      </w:r>
      <w:r w:rsidR="00DC03B7" w:rsidRPr="007434A4">
        <w:rPr>
          <w:rFonts w:ascii="Helvetica" w:hAnsi="Helvetica"/>
          <w:sz w:val="24"/>
        </w:rPr>
        <w:t xml:space="preserve"> territorio</w:t>
      </w:r>
      <w:r w:rsidRPr="007434A4">
        <w:rPr>
          <w:rFonts w:ascii="Helvetica" w:hAnsi="Helvetica"/>
          <w:sz w:val="24"/>
        </w:rPr>
        <w:t xml:space="preserve"> e </w:t>
      </w:r>
      <w:r w:rsidR="00DC03B7" w:rsidRPr="007434A4">
        <w:rPr>
          <w:rFonts w:ascii="Helvetica" w:hAnsi="Helvetica"/>
          <w:sz w:val="24"/>
        </w:rPr>
        <w:t>il suo valore quale</w:t>
      </w:r>
      <w:r w:rsidRPr="007434A4">
        <w:rPr>
          <w:rFonts w:ascii="Helvetica" w:hAnsi="Helvetica"/>
          <w:sz w:val="24"/>
        </w:rPr>
        <w:t xml:space="preserve"> stru</w:t>
      </w:r>
      <w:r w:rsidR="00DC03B7" w:rsidRPr="007434A4">
        <w:rPr>
          <w:rFonts w:ascii="Helvetica" w:hAnsi="Helvetica"/>
          <w:sz w:val="24"/>
        </w:rPr>
        <w:t>mento di marketing territoriale per lo sviluppo dei flussi turistici.</w:t>
      </w:r>
      <w:r w:rsidRPr="007434A4">
        <w:rPr>
          <w:rFonts w:ascii="Helvetica" w:hAnsi="Helvetica"/>
          <w:sz w:val="24"/>
        </w:rPr>
        <w:t xml:space="preserve"> </w:t>
      </w:r>
    </w:p>
    <w:p w:rsidR="00E101BC" w:rsidRPr="007434A4" w:rsidRDefault="00FB346B" w:rsidP="002E22DA">
      <w:pPr>
        <w:jc w:val="both"/>
        <w:rPr>
          <w:rFonts w:ascii="Helvetica" w:hAnsi="Helvetica"/>
          <w:b/>
          <w:sz w:val="24"/>
        </w:rPr>
      </w:pPr>
      <w:r w:rsidRPr="007434A4">
        <w:rPr>
          <w:rFonts w:ascii="Helvetica" w:hAnsi="Helvetica"/>
          <w:sz w:val="24"/>
        </w:rPr>
        <w:t xml:space="preserve">Una recente ricerca di Nomisma sull’impatto economico dell’attività fieristica sul territorio </w:t>
      </w:r>
      <w:r w:rsidR="00E101BC" w:rsidRPr="007434A4">
        <w:rPr>
          <w:rFonts w:ascii="Helvetica" w:hAnsi="Helvetica"/>
          <w:sz w:val="24"/>
        </w:rPr>
        <w:t xml:space="preserve">conclude che le manifestazioni fieristiche ospitate da BolognaFiere hanno determinato </w:t>
      </w:r>
      <w:r w:rsidR="001C0027" w:rsidRPr="007434A4">
        <w:rPr>
          <w:rFonts w:ascii="Helvetica" w:hAnsi="Helvetica"/>
          <w:sz w:val="24"/>
        </w:rPr>
        <w:t xml:space="preserve">(nel 2015) </w:t>
      </w:r>
      <w:r w:rsidR="00E101BC" w:rsidRPr="007434A4">
        <w:rPr>
          <w:rFonts w:ascii="Helvetica" w:hAnsi="Helvetica"/>
          <w:sz w:val="24"/>
        </w:rPr>
        <w:t xml:space="preserve">una ricaduta totale sul sistema economico bolognese pari a </w:t>
      </w:r>
      <w:r w:rsidR="00E101BC" w:rsidRPr="007434A4">
        <w:rPr>
          <w:rFonts w:ascii="Helvetica" w:hAnsi="Helvetica"/>
          <w:b/>
          <w:sz w:val="24"/>
        </w:rPr>
        <w:t>890 milioni di euro</w:t>
      </w:r>
      <w:r w:rsidR="00E101BC" w:rsidRPr="007434A4">
        <w:rPr>
          <w:rFonts w:ascii="Helvetica" w:hAnsi="Helvetica"/>
          <w:sz w:val="24"/>
        </w:rPr>
        <w:t xml:space="preserve">, la cui distribuzione è andata, </w:t>
      </w:r>
      <w:r w:rsidR="005E1313" w:rsidRPr="007434A4">
        <w:rPr>
          <w:rFonts w:ascii="Helvetica" w:hAnsi="Helvetica"/>
          <w:b/>
          <w:sz w:val="24"/>
        </w:rPr>
        <w:t xml:space="preserve">complessivamente </w:t>
      </w:r>
      <w:r w:rsidR="00E101BC" w:rsidRPr="007434A4">
        <w:rPr>
          <w:rFonts w:ascii="Helvetica" w:hAnsi="Helvetica"/>
          <w:b/>
          <w:sz w:val="24"/>
        </w:rPr>
        <w:t>per qua</w:t>
      </w:r>
      <w:r w:rsidR="001C0027" w:rsidRPr="007434A4">
        <w:rPr>
          <w:rFonts w:ascii="Helvetica" w:hAnsi="Helvetica"/>
          <w:b/>
          <w:sz w:val="24"/>
        </w:rPr>
        <w:t>s</w:t>
      </w:r>
      <w:r w:rsidR="00E101BC" w:rsidRPr="007434A4">
        <w:rPr>
          <w:rFonts w:ascii="Helvetica" w:hAnsi="Helvetica"/>
          <w:b/>
          <w:sz w:val="24"/>
        </w:rPr>
        <w:t>i l’80 per cento, ai settori alberghiero e della ristorazione (42%)</w:t>
      </w:r>
      <w:r w:rsidR="001C0027" w:rsidRPr="007434A4">
        <w:rPr>
          <w:rFonts w:ascii="Helvetica" w:hAnsi="Helvetica"/>
          <w:b/>
          <w:sz w:val="24"/>
        </w:rPr>
        <w:t xml:space="preserve">, </w:t>
      </w:r>
      <w:r w:rsidR="00E101BC" w:rsidRPr="007434A4">
        <w:rPr>
          <w:rFonts w:ascii="Helvetica" w:hAnsi="Helvetica"/>
          <w:b/>
          <w:sz w:val="24"/>
        </w:rPr>
        <w:t>ai servizi professionali (25%</w:t>
      </w:r>
      <w:r w:rsidR="001C0027" w:rsidRPr="007434A4">
        <w:rPr>
          <w:rFonts w:ascii="Helvetica" w:hAnsi="Helvetica"/>
          <w:b/>
          <w:sz w:val="24"/>
        </w:rPr>
        <w:t>) e al comparto manifatturiero (10%).</w:t>
      </w:r>
    </w:p>
    <w:p w:rsidR="001F7FDD" w:rsidRPr="007434A4" w:rsidRDefault="001F7FDD" w:rsidP="001F7FDD">
      <w:pPr>
        <w:jc w:val="center"/>
        <w:rPr>
          <w:rFonts w:ascii="Helvetica" w:hAnsi="Helvetica"/>
          <w:b/>
        </w:rPr>
      </w:pPr>
    </w:p>
    <w:p w:rsidR="001F7FDD" w:rsidRPr="007434A4" w:rsidRDefault="001F7FDD" w:rsidP="001F7FDD">
      <w:pPr>
        <w:jc w:val="center"/>
        <w:rPr>
          <w:rFonts w:ascii="Helvetica" w:hAnsi="Helvetica"/>
          <w:b/>
        </w:rPr>
      </w:pPr>
    </w:p>
    <w:p w:rsidR="001F7FDD" w:rsidRPr="007434A4" w:rsidRDefault="001F7FDD" w:rsidP="001F7FDD">
      <w:pPr>
        <w:jc w:val="center"/>
        <w:rPr>
          <w:rFonts w:ascii="Helvetica" w:hAnsi="Helvetica"/>
          <w:b/>
        </w:rPr>
      </w:pPr>
    </w:p>
    <w:p w:rsidR="002E22DA" w:rsidRPr="007434A4" w:rsidRDefault="001F7FDD" w:rsidP="001F7FDD">
      <w:pPr>
        <w:jc w:val="center"/>
        <w:rPr>
          <w:rFonts w:ascii="Helvetica" w:hAnsi="Helvetica"/>
          <w:b/>
        </w:rPr>
      </w:pPr>
      <w:r w:rsidRPr="007434A4">
        <w:rPr>
          <w:rFonts w:ascii="Helvetica" w:hAnsi="Helvetica"/>
          <w:b/>
        </w:rPr>
        <w:t>Impatto economico sull’indotto totale</w:t>
      </w:r>
    </w:p>
    <w:p w:rsidR="001C0027" w:rsidRPr="007434A4" w:rsidRDefault="002E22DA" w:rsidP="002E22DA">
      <w:pPr>
        <w:jc w:val="center"/>
        <w:rPr>
          <w:rFonts w:ascii="Helvetica" w:hAnsi="Helvetica"/>
        </w:rPr>
      </w:pPr>
      <w:r w:rsidRPr="007434A4">
        <w:rPr>
          <w:rFonts w:ascii="Helvetica" w:hAnsi="Helvetica"/>
          <w:noProof/>
          <w:lang w:eastAsia="it-IT"/>
        </w:rPr>
        <w:drawing>
          <wp:inline distT="0" distB="0" distL="0" distR="0" wp14:anchorId="50A95F73" wp14:editId="0CBF976C">
            <wp:extent cx="5064981" cy="2433099"/>
            <wp:effectExtent l="0" t="0" r="21590" b="24765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22E9E" w:rsidRPr="007434A4" w:rsidRDefault="00E101BC" w:rsidP="005A6530">
      <w:pPr>
        <w:rPr>
          <w:rFonts w:ascii="Helvetica" w:hAnsi="Helvetica"/>
        </w:rPr>
      </w:pPr>
      <w:r w:rsidRPr="007434A4">
        <w:rPr>
          <w:rFonts w:ascii="Helvetica" w:hAnsi="Helvetica"/>
        </w:rPr>
        <w:t xml:space="preserve"> </w:t>
      </w:r>
    </w:p>
    <w:p w:rsidR="00A22E9E" w:rsidRPr="007434A4" w:rsidRDefault="00A22E9E" w:rsidP="00FB1338">
      <w:pPr>
        <w:rPr>
          <w:rFonts w:ascii="Helvetica" w:hAnsi="Helvetica"/>
        </w:rPr>
      </w:pPr>
      <w:r w:rsidRPr="007434A4">
        <w:rPr>
          <w:rFonts w:ascii="Helvetica" w:hAnsi="Helvetica"/>
        </w:rPr>
        <w:t xml:space="preserve">Andando ad analizzare la quota di </w:t>
      </w:r>
      <w:r w:rsidRPr="007434A4">
        <w:rPr>
          <w:rFonts w:ascii="Helvetica" w:hAnsi="Helvetica"/>
          <w:b/>
        </w:rPr>
        <w:t>indotto economico diretto</w:t>
      </w:r>
      <w:r w:rsidRPr="007434A4">
        <w:rPr>
          <w:rFonts w:ascii="Helvetica" w:hAnsi="Helvetica"/>
        </w:rPr>
        <w:t xml:space="preserve"> e di indotto economico indiretto emerge che l’</w:t>
      </w:r>
      <w:r w:rsidRPr="007434A4">
        <w:rPr>
          <w:rFonts w:ascii="Helvetica" w:hAnsi="Helvetica"/>
          <w:b/>
        </w:rPr>
        <w:t xml:space="preserve">indotto </w:t>
      </w:r>
      <w:proofErr w:type="gramStart"/>
      <w:r w:rsidRPr="007434A4">
        <w:rPr>
          <w:rFonts w:ascii="Helvetica" w:hAnsi="Helvetica"/>
          <w:b/>
        </w:rPr>
        <w:t>diretto</w:t>
      </w:r>
      <w:r w:rsidRPr="007434A4">
        <w:rPr>
          <w:rFonts w:ascii="Helvetica" w:hAnsi="Helvetica"/>
        </w:rPr>
        <w:t xml:space="preserve"> </w:t>
      </w:r>
      <w:r w:rsidR="00FB346B" w:rsidRPr="007434A4">
        <w:rPr>
          <w:rFonts w:ascii="Helvetica" w:hAnsi="Helvetica"/>
        </w:rPr>
        <w:t xml:space="preserve"> </w:t>
      </w:r>
      <w:r w:rsidR="001F7FDD" w:rsidRPr="007434A4">
        <w:rPr>
          <w:rFonts w:ascii="Helvetica" w:hAnsi="Helvetica"/>
        </w:rPr>
        <w:t>(</w:t>
      </w:r>
      <w:proofErr w:type="gramEnd"/>
      <w:r w:rsidRPr="007434A4">
        <w:rPr>
          <w:rFonts w:ascii="Helvetica" w:hAnsi="Helvetica"/>
        </w:rPr>
        <w:t>ossia quello costituito dalle attività attivate direttamente dall'organizzazione fieristica, al netto degli intermediari</w:t>
      </w:r>
      <w:r w:rsidR="001F7FDD" w:rsidRPr="007434A4">
        <w:rPr>
          <w:rFonts w:ascii="Helvetica" w:hAnsi="Helvetica"/>
        </w:rPr>
        <w:t>)</w:t>
      </w:r>
      <w:r w:rsidRPr="007434A4">
        <w:rPr>
          <w:rFonts w:ascii="Helvetica" w:hAnsi="Helvetica"/>
        </w:rPr>
        <w:t xml:space="preserve">, ammonta a </w:t>
      </w:r>
      <w:r w:rsidRPr="007434A4">
        <w:rPr>
          <w:rFonts w:ascii="Helvetica" w:hAnsi="Helvetica"/>
          <w:b/>
        </w:rPr>
        <w:t>306 mln di euro</w:t>
      </w:r>
      <w:r w:rsidR="00FB1338" w:rsidRPr="007434A4">
        <w:rPr>
          <w:rFonts w:ascii="Helvetica" w:hAnsi="Helvetica"/>
          <w:b/>
        </w:rPr>
        <w:t xml:space="preserve">, di cui </w:t>
      </w:r>
      <w:r w:rsidRPr="007434A4">
        <w:rPr>
          <w:rFonts w:ascii="Helvetica" w:hAnsi="Helvetica"/>
          <w:b/>
        </w:rPr>
        <w:t>il 79 %  ricade sui servizi per gli espositori (29%)</w:t>
      </w:r>
      <w:r w:rsidR="00FB1338" w:rsidRPr="007434A4">
        <w:rPr>
          <w:rFonts w:ascii="Helvetica" w:hAnsi="Helvetica"/>
          <w:b/>
        </w:rPr>
        <w:t xml:space="preserve">, </w:t>
      </w:r>
      <w:r w:rsidRPr="007434A4">
        <w:rPr>
          <w:rFonts w:ascii="Helvetica" w:hAnsi="Helvetica"/>
          <w:b/>
        </w:rPr>
        <w:t xml:space="preserve"> sul vitto e sull'alloggio (50%)</w:t>
      </w:r>
      <w:r w:rsidRPr="007434A4">
        <w:rPr>
          <w:rFonts w:ascii="Helvetica" w:hAnsi="Helvetica"/>
        </w:rPr>
        <w:t>.</w:t>
      </w:r>
    </w:p>
    <w:p w:rsidR="001F7FDD" w:rsidRPr="007434A4" w:rsidRDefault="001F7FDD" w:rsidP="001F7FDD">
      <w:pPr>
        <w:jc w:val="center"/>
        <w:rPr>
          <w:rFonts w:ascii="Helvetica" w:hAnsi="Helvetica"/>
          <w:b/>
        </w:rPr>
      </w:pPr>
      <w:r w:rsidRPr="007434A4">
        <w:rPr>
          <w:rFonts w:ascii="Helvetica" w:hAnsi="Helvetica"/>
          <w:b/>
        </w:rPr>
        <w:t>Impatto economico sull’indotto diretto (2015)</w:t>
      </w:r>
    </w:p>
    <w:p w:rsidR="00A22E9E" w:rsidRPr="007434A4" w:rsidRDefault="00FB1338" w:rsidP="001F7FDD">
      <w:pPr>
        <w:pStyle w:val="Testonormale"/>
        <w:jc w:val="center"/>
        <w:rPr>
          <w:rFonts w:ascii="Helvetica" w:hAnsi="Helvetica"/>
          <w:szCs w:val="22"/>
        </w:rPr>
      </w:pPr>
      <w:r w:rsidRPr="007434A4">
        <w:rPr>
          <w:rFonts w:ascii="Helvetica" w:hAnsi="Helvetica"/>
          <w:noProof/>
          <w:szCs w:val="22"/>
          <w:lang w:eastAsia="it-IT"/>
        </w:rPr>
        <w:drawing>
          <wp:inline distT="0" distB="0" distL="0" distR="0" wp14:anchorId="2D20B924" wp14:editId="5B6B68AD">
            <wp:extent cx="4587902" cy="1630017"/>
            <wp:effectExtent l="0" t="0" r="22225" b="2794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F7FDD" w:rsidRPr="007434A4" w:rsidRDefault="001F7FDD" w:rsidP="00A22E9E">
      <w:pPr>
        <w:pStyle w:val="Testonormale"/>
        <w:rPr>
          <w:rFonts w:ascii="Helvetica" w:hAnsi="Helvetica"/>
          <w:szCs w:val="22"/>
        </w:rPr>
      </w:pPr>
    </w:p>
    <w:p w:rsidR="001F7FDD" w:rsidRPr="007434A4" w:rsidRDefault="001F7FDD" w:rsidP="00A22E9E">
      <w:pPr>
        <w:pStyle w:val="Testonormale"/>
        <w:rPr>
          <w:rFonts w:ascii="Helvetica" w:hAnsi="Helvetica"/>
          <w:szCs w:val="22"/>
        </w:rPr>
      </w:pPr>
    </w:p>
    <w:p w:rsidR="00A22E9E" w:rsidRPr="007434A4" w:rsidRDefault="00FB1338" w:rsidP="00A22E9E">
      <w:pPr>
        <w:pStyle w:val="Testonormale"/>
        <w:rPr>
          <w:rFonts w:ascii="Helvetica" w:hAnsi="Helvetica"/>
          <w:szCs w:val="22"/>
        </w:rPr>
      </w:pPr>
      <w:r w:rsidRPr="007434A4">
        <w:rPr>
          <w:rFonts w:ascii="Helvetica" w:hAnsi="Helvetica"/>
          <w:szCs w:val="22"/>
        </w:rPr>
        <w:t>L’</w:t>
      </w:r>
      <w:r w:rsidRPr="007434A4">
        <w:rPr>
          <w:rFonts w:ascii="Helvetica" w:hAnsi="Helvetica"/>
          <w:b/>
          <w:szCs w:val="22"/>
        </w:rPr>
        <w:t>i</w:t>
      </w:r>
      <w:r w:rsidR="00A22E9E" w:rsidRPr="007434A4">
        <w:rPr>
          <w:rFonts w:ascii="Helvetica" w:hAnsi="Helvetica"/>
          <w:b/>
          <w:szCs w:val="22"/>
        </w:rPr>
        <w:t xml:space="preserve">mpatto economico </w:t>
      </w:r>
      <w:r w:rsidRPr="007434A4">
        <w:rPr>
          <w:rFonts w:ascii="Helvetica" w:hAnsi="Helvetica"/>
          <w:b/>
          <w:szCs w:val="22"/>
        </w:rPr>
        <w:t>dell</w:t>
      </w:r>
      <w:r w:rsidR="00A22E9E" w:rsidRPr="007434A4">
        <w:rPr>
          <w:rFonts w:ascii="Helvetica" w:hAnsi="Helvetica"/>
          <w:b/>
          <w:szCs w:val="22"/>
        </w:rPr>
        <w:t>'indotto</w:t>
      </w:r>
      <w:r w:rsidRPr="007434A4">
        <w:rPr>
          <w:rFonts w:ascii="Helvetica" w:hAnsi="Helvetica"/>
          <w:b/>
          <w:szCs w:val="22"/>
        </w:rPr>
        <w:t xml:space="preserve"> </w:t>
      </w:r>
      <w:r w:rsidR="00A22E9E" w:rsidRPr="007434A4">
        <w:rPr>
          <w:rFonts w:ascii="Helvetica" w:hAnsi="Helvetica"/>
          <w:b/>
          <w:szCs w:val="22"/>
        </w:rPr>
        <w:t>indiretto</w:t>
      </w:r>
      <w:r w:rsidR="00A22E9E" w:rsidRPr="007434A4">
        <w:rPr>
          <w:rFonts w:ascii="Helvetica" w:hAnsi="Helvetica"/>
          <w:szCs w:val="22"/>
        </w:rPr>
        <w:t xml:space="preserve"> </w:t>
      </w:r>
      <w:r w:rsidR="001F7FDD" w:rsidRPr="007434A4">
        <w:rPr>
          <w:rFonts w:ascii="Helvetica" w:hAnsi="Helvetica"/>
          <w:szCs w:val="22"/>
        </w:rPr>
        <w:t xml:space="preserve">(ossia la quantificazione del valore creato a livello di sistema) </w:t>
      </w:r>
      <w:r w:rsidRPr="007434A4">
        <w:rPr>
          <w:rFonts w:ascii="Helvetica" w:hAnsi="Helvetica"/>
          <w:szCs w:val="22"/>
        </w:rPr>
        <w:t>si attesta</w:t>
      </w:r>
      <w:r w:rsidR="00A22E9E" w:rsidRPr="007434A4">
        <w:rPr>
          <w:rFonts w:ascii="Helvetica" w:hAnsi="Helvetica"/>
          <w:szCs w:val="22"/>
        </w:rPr>
        <w:t xml:space="preserve">, </w:t>
      </w:r>
      <w:proofErr w:type="gramStart"/>
      <w:r w:rsidR="00A22E9E" w:rsidRPr="007434A4">
        <w:rPr>
          <w:rFonts w:ascii="Helvetica" w:hAnsi="Helvetica"/>
          <w:szCs w:val="22"/>
        </w:rPr>
        <w:t>invece</w:t>
      </w:r>
      <w:r w:rsidRPr="007434A4">
        <w:rPr>
          <w:rFonts w:ascii="Helvetica" w:hAnsi="Helvetica"/>
          <w:szCs w:val="22"/>
        </w:rPr>
        <w:t xml:space="preserve">, </w:t>
      </w:r>
      <w:r w:rsidR="00A22E9E" w:rsidRPr="007434A4">
        <w:rPr>
          <w:rFonts w:ascii="Helvetica" w:hAnsi="Helvetica"/>
          <w:szCs w:val="22"/>
        </w:rPr>
        <w:t xml:space="preserve"> a</w:t>
      </w:r>
      <w:proofErr w:type="gramEnd"/>
      <w:r w:rsidR="00A22E9E" w:rsidRPr="007434A4">
        <w:rPr>
          <w:rFonts w:ascii="Helvetica" w:hAnsi="Helvetica"/>
          <w:szCs w:val="22"/>
        </w:rPr>
        <w:t xml:space="preserve"> </w:t>
      </w:r>
      <w:r w:rsidR="00A22E9E" w:rsidRPr="007434A4">
        <w:rPr>
          <w:rFonts w:ascii="Helvetica" w:hAnsi="Helvetica"/>
          <w:b/>
          <w:szCs w:val="22"/>
        </w:rPr>
        <w:t xml:space="preserve">585 mln di euro, </w:t>
      </w:r>
      <w:r w:rsidRPr="007434A4">
        <w:rPr>
          <w:rFonts w:ascii="Helvetica" w:hAnsi="Helvetica"/>
          <w:b/>
          <w:szCs w:val="22"/>
        </w:rPr>
        <w:t xml:space="preserve">di cui il </w:t>
      </w:r>
      <w:r w:rsidR="00A22E9E" w:rsidRPr="007434A4">
        <w:rPr>
          <w:rFonts w:ascii="Helvetica" w:hAnsi="Helvetica"/>
          <w:b/>
          <w:szCs w:val="22"/>
        </w:rPr>
        <w:t xml:space="preserve">38%  </w:t>
      </w:r>
      <w:r w:rsidRPr="007434A4">
        <w:rPr>
          <w:rFonts w:ascii="Helvetica" w:hAnsi="Helvetica"/>
          <w:b/>
          <w:szCs w:val="22"/>
        </w:rPr>
        <w:t xml:space="preserve">per </w:t>
      </w:r>
      <w:r w:rsidR="00A22E9E" w:rsidRPr="007434A4">
        <w:rPr>
          <w:rFonts w:ascii="Helvetica" w:hAnsi="Helvetica"/>
          <w:b/>
          <w:szCs w:val="22"/>
        </w:rPr>
        <w:t xml:space="preserve">alberghi e ristoranti, 21 % </w:t>
      </w:r>
      <w:r w:rsidRPr="007434A4">
        <w:rPr>
          <w:rFonts w:ascii="Helvetica" w:hAnsi="Helvetica"/>
          <w:b/>
          <w:szCs w:val="22"/>
        </w:rPr>
        <w:t xml:space="preserve">per </w:t>
      </w:r>
      <w:r w:rsidR="00A22E9E" w:rsidRPr="007434A4">
        <w:rPr>
          <w:rFonts w:ascii="Helvetica" w:hAnsi="Helvetica"/>
          <w:b/>
          <w:szCs w:val="22"/>
        </w:rPr>
        <w:t>attività professionali</w:t>
      </w:r>
      <w:r w:rsidRPr="007434A4">
        <w:rPr>
          <w:rFonts w:ascii="Helvetica" w:hAnsi="Helvetica"/>
          <w:b/>
          <w:szCs w:val="22"/>
        </w:rPr>
        <w:t xml:space="preserve"> e il </w:t>
      </w:r>
      <w:r w:rsidR="00A22E9E" w:rsidRPr="007434A4">
        <w:rPr>
          <w:rFonts w:ascii="Helvetica" w:hAnsi="Helvetica"/>
          <w:b/>
          <w:szCs w:val="22"/>
        </w:rPr>
        <w:t>10%</w:t>
      </w:r>
      <w:r w:rsidRPr="007434A4">
        <w:rPr>
          <w:rFonts w:ascii="Helvetica" w:hAnsi="Helvetica"/>
          <w:b/>
          <w:szCs w:val="22"/>
        </w:rPr>
        <w:t xml:space="preserve"> per il settore manifattura</w:t>
      </w:r>
      <w:r w:rsidRPr="007434A4">
        <w:rPr>
          <w:rFonts w:ascii="Helvetica" w:hAnsi="Helvetica"/>
          <w:szCs w:val="22"/>
        </w:rPr>
        <w:t>.</w:t>
      </w:r>
    </w:p>
    <w:p w:rsidR="00FB1338" w:rsidRPr="007434A4" w:rsidRDefault="00FB1338" w:rsidP="00A22E9E">
      <w:pPr>
        <w:pStyle w:val="Testonormale"/>
        <w:rPr>
          <w:rFonts w:ascii="Helvetica" w:hAnsi="Helvetica"/>
          <w:szCs w:val="22"/>
        </w:rPr>
      </w:pPr>
    </w:p>
    <w:p w:rsidR="001F7FDD" w:rsidRPr="007434A4" w:rsidRDefault="001F7FDD" w:rsidP="001F7FDD">
      <w:pPr>
        <w:pStyle w:val="Testonormale"/>
        <w:jc w:val="center"/>
        <w:rPr>
          <w:rFonts w:ascii="Helvetica" w:hAnsi="Helvetica"/>
          <w:b/>
          <w:szCs w:val="22"/>
        </w:rPr>
      </w:pPr>
      <w:r w:rsidRPr="007434A4">
        <w:rPr>
          <w:rFonts w:ascii="Helvetica" w:hAnsi="Helvetica"/>
          <w:b/>
          <w:szCs w:val="22"/>
        </w:rPr>
        <w:t>Impatto economico sull’indotto indiretto (2015)</w:t>
      </w:r>
    </w:p>
    <w:p w:rsidR="001F7FDD" w:rsidRPr="007434A4" w:rsidRDefault="001F7FDD" w:rsidP="001F7FDD">
      <w:pPr>
        <w:pStyle w:val="Testonormale"/>
        <w:jc w:val="center"/>
        <w:rPr>
          <w:rFonts w:ascii="Helvetica" w:hAnsi="Helvetica"/>
          <w:szCs w:val="22"/>
        </w:rPr>
      </w:pPr>
      <w:r w:rsidRPr="007434A4">
        <w:rPr>
          <w:rFonts w:ascii="Helvetica" w:hAnsi="Helvetica"/>
          <w:noProof/>
          <w:szCs w:val="22"/>
          <w:lang w:eastAsia="it-IT"/>
        </w:rPr>
        <w:drawing>
          <wp:inline distT="0" distB="0" distL="0" distR="0" wp14:anchorId="429BA371" wp14:editId="67DA03C9">
            <wp:extent cx="4572000" cy="1606164"/>
            <wp:effectExtent l="0" t="0" r="19050" b="13335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A6530" w:rsidRDefault="007434A4" w:rsidP="007434A4">
      <w:pPr>
        <w:pStyle w:val="Testonormale"/>
        <w:jc w:val="right"/>
        <w:rPr>
          <w:rFonts w:ascii="Helvetica" w:hAnsi="Helvetica"/>
          <w:sz w:val="18"/>
          <w:szCs w:val="22"/>
        </w:rPr>
      </w:pPr>
      <w:r w:rsidRPr="007434A4">
        <w:rPr>
          <w:rFonts w:ascii="Helvetica" w:hAnsi="Helvetica"/>
          <w:sz w:val="18"/>
          <w:szCs w:val="22"/>
        </w:rPr>
        <w:t xml:space="preserve"> </w:t>
      </w:r>
      <w:r w:rsidR="00FB1338" w:rsidRPr="007434A4">
        <w:rPr>
          <w:rFonts w:ascii="Helvetica" w:hAnsi="Helvetica"/>
          <w:sz w:val="18"/>
          <w:szCs w:val="22"/>
        </w:rPr>
        <w:t>(Fonte: Nomisma)</w:t>
      </w:r>
    </w:p>
    <w:p w:rsidR="007434A4" w:rsidRPr="007434A4" w:rsidRDefault="007434A4" w:rsidP="001F7FDD">
      <w:pPr>
        <w:pStyle w:val="Testonormale"/>
        <w:rPr>
          <w:rFonts w:ascii="Helvetica" w:hAnsi="Helvetica"/>
          <w:sz w:val="20"/>
          <w:szCs w:val="22"/>
        </w:rPr>
      </w:pPr>
      <w:r w:rsidRPr="007434A4">
        <w:rPr>
          <w:rFonts w:ascii="Helvetica" w:hAnsi="Helvetica"/>
          <w:sz w:val="20"/>
          <w:szCs w:val="22"/>
        </w:rPr>
        <w:t>Bologna, 1 febbraio 2017</w:t>
      </w:r>
    </w:p>
    <w:sectPr w:rsidR="007434A4" w:rsidRPr="007434A4" w:rsidSect="007434A4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30"/>
    <w:rsid w:val="00025846"/>
    <w:rsid w:val="00125562"/>
    <w:rsid w:val="001C0027"/>
    <w:rsid w:val="001F7FDD"/>
    <w:rsid w:val="002540CB"/>
    <w:rsid w:val="002E22DA"/>
    <w:rsid w:val="005A6530"/>
    <w:rsid w:val="005E1313"/>
    <w:rsid w:val="0068213B"/>
    <w:rsid w:val="007434A4"/>
    <w:rsid w:val="007F4557"/>
    <w:rsid w:val="00992E7F"/>
    <w:rsid w:val="00A2014E"/>
    <w:rsid w:val="00A22E9E"/>
    <w:rsid w:val="00DC03B7"/>
    <w:rsid w:val="00E101BC"/>
    <w:rsid w:val="00FB1338"/>
    <w:rsid w:val="00FB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FAAE9-7081-4C5D-AC8A-51FE8170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A22E9E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22E9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Foglio1!$A$2:$A$5</c:f>
              <c:strCache>
                <c:ptCount val="4"/>
                <c:pt idx="0">
                  <c:v>Albergi e ristoranti</c:v>
                </c:pt>
                <c:pt idx="1">
                  <c:v>Attività professionali, altri servizi</c:v>
                </c:pt>
                <c:pt idx="2">
                  <c:v>Manifattura</c:v>
                </c:pt>
                <c:pt idx="3">
                  <c:v>Commercio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0.42</c:v>
                </c:pt>
                <c:pt idx="1">
                  <c:v>0.25</c:v>
                </c:pt>
                <c:pt idx="2">
                  <c:v>0.1</c:v>
                </c:pt>
                <c:pt idx="3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6122288"/>
        <c:axId val="286122680"/>
      </c:barChart>
      <c:catAx>
        <c:axId val="2861222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86122680"/>
        <c:crosses val="autoZero"/>
        <c:auto val="1"/>
        <c:lblAlgn val="ctr"/>
        <c:lblOffset val="100"/>
        <c:noMultiLvlLbl val="0"/>
      </c:catAx>
      <c:valAx>
        <c:axId val="28612268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86122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Foglio1!$A$2:$A$6</c:f>
              <c:strCache>
                <c:ptCount val="5"/>
                <c:pt idx="0">
                  <c:v>Alberghi</c:v>
                </c:pt>
                <c:pt idx="1">
                  <c:v>Servizi per espositori</c:v>
                </c:pt>
                <c:pt idx="2">
                  <c:v>Ristoranti e bar</c:v>
                </c:pt>
                <c:pt idx="3">
                  <c:v>Altre spese</c:v>
                </c:pt>
                <c:pt idx="4">
                  <c:v>Trasporto locale</c:v>
                </c:pt>
              </c:strCache>
            </c:strRef>
          </c:cat>
          <c:val>
            <c:numRef>
              <c:f>Foglio1!$B$2:$B$6</c:f>
              <c:numCache>
                <c:formatCode>0%</c:formatCode>
                <c:ptCount val="5"/>
                <c:pt idx="0">
                  <c:v>0.32</c:v>
                </c:pt>
                <c:pt idx="1">
                  <c:v>0.28999999999999998</c:v>
                </c:pt>
                <c:pt idx="2">
                  <c:v>0.18</c:v>
                </c:pt>
                <c:pt idx="3">
                  <c:v>0.15</c:v>
                </c:pt>
                <c:pt idx="4">
                  <c:v>0.06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Colonna1</c:v>
                </c:pt>
              </c:strCache>
            </c:strRef>
          </c:tx>
          <c:invertIfNegative val="0"/>
          <c:cat>
            <c:strRef>
              <c:f>Foglio1!$A$2:$A$6</c:f>
              <c:strCache>
                <c:ptCount val="5"/>
                <c:pt idx="0">
                  <c:v>Alberghi</c:v>
                </c:pt>
                <c:pt idx="1">
                  <c:v>Servizi per espositori</c:v>
                </c:pt>
                <c:pt idx="2">
                  <c:v>Ristoranti e bar</c:v>
                </c:pt>
                <c:pt idx="3">
                  <c:v>Altre spese</c:v>
                </c:pt>
                <c:pt idx="4">
                  <c:v>Trasporto locale</c:v>
                </c:pt>
              </c:strCache>
            </c:strRef>
          </c:cat>
          <c:val>
            <c:numRef>
              <c:f>Foglio1!$C$2:$C$6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Colonna2</c:v>
                </c:pt>
              </c:strCache>
            </c:strRef>
          </c:tx>
          <c:invertIfNegative val="0"/>
          <c:cat>
            <c:strRef>
              <c:f>Foglio1!$A$2:$A$6</c:f>
              <c:strCache>
                <c:ptCount val="5"/>
                <c:pt idx="0">
                  <c:v>Alberghi</c:v>
                </c:pt>
                <c:pt idx="1">
                  <c:v>Servizi per espositori</c:v>
                </c:pt>
                <c:pt idx="2">
                  <c:v>Ristoranti e bar</c:v>
                </c:pt>
                <c:pt idx="3">
                  <c:v>Altre spese</c:v>
                </c:pt>
                <c:pt idx="4">
                  <c:v>Trasporto locale</c:v>
                </c:pt>
              </c:strCache>
            </c:strRef>
          </c:cat>
          <c:val>
            <c:numRef>
              <c:f>Foglio1!$D$2:$D$6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999520"/>
        <c:axId val="133999912"/>
      </c:barChart>
      <c:catAx>
        <c:axId val="1339995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3999912"/>
        <c:crosses val="autoZero"/>
        <c:auto val="1"/>
        <c:lblAlgn val="ctr"/>
        <c:lblOffset val="100"/>
        <c:noMultiLvlLbl val="0"/>
      </c:catAx>
      <c:valAx>
        <c:axId val="13399991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339995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Foglio1!$A$2:$A$7</c:f>
              <c:strCache>
                <c:ptCount val="6"/>
                <c:pt idx="0">
                  <c:v>Alberghi e ristoranti</c:v>
                </c:pt>
                <c:pt idx="1">
                  <c:v>Attività professionali</c:v>
                </c:pt>
                <c:pt idx="2">
                  <c:v>Manifattura</c:v>
                </c:pt>
                <c:pt idx="3">
                  <c:v>Attività immobiliari</c:v>
                </c:pt>
                <c:pt idx="4">
                  <c:v>Trasporti</c:v>
                </c:pt>
                <c:pt idx="5">
                  <c:v>Commercio</c:v>
                </c:pt>
              </c:strCache>
            </c:strRef>
          </c:cat>
          <c:val>
            <c:numRef>
              <c:f>Foglio1!$B$2:$B$7</c:f>
              <c:numCache>
                <c:formatCode>0%</c:formatCode>
                <c:ptCount val="6"/>
                <c:pt idx="0">
                  <c:v>0.38</c:v>
                </c:pt>
                <c:pt idx="1">
                  <c:v>0.21</c:v>
                </c:pt>
                <c:pt idx="2">
                  <c:v>0.16</c:v>
                </c:pt>
                <c:pt idx="3">
                  <c:v>0.06</c:v>
                </c:pt>
                <c:pt idx="4">
                  <c:v>0.05</c:v>
                </c:pt>
                <c:pt idx="5">
                  <c:v>0.04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Colonna1</c:v>
                </c:pt>
              </c:strCache>
            </c:strRef>
          </c:tx>
          <c:invertIfNegative val="0"/>
          <c:cat>
            <c:strRef>
              <c:f>Foglio1!$A$2:$A$7</c:f>
              <c:strCache>
                <c:ptCount val="6"/>
                <c:pt idx="0">
                  <c:v>Alberghi e ristoranti</c:v>
                </c:pt>
                <c:pt idx="1">
                  <c:v>Attività professionali</c:v>
                </c:pt>
                <c:pt idx="2">
                  <c:v>Manifattura</c:v>
                </c:pt>
                <c:pt idx="3">
                  <c:v>Attività immobiliari</c:v>
                </c:pt>
                <c:pt idx="4">
                  <c:v>Trasporti</c:v>
                </c:pt>
                <c:pt idx="5">
                  <c:v>Commercio</c:v>
                </c:pt>
              </c:strCache>
            </c:strRef>
          </c:cat>
          <c:val>
            <c:numRef>
              <c:f>Foglio1!$C$2:$C$7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Colonna2</c:v>
                </c:pt>
              </c:strCache>
            </c:strRef>
          </c:tx>
          <c:invertIfNegative val="0"/>
          <c:cat>
            <c:strRef>
              <c:f>Foglio1!$A$2:$A$7</c:f>
              <c:strCache>
                <c:ptCount val="6"/>
                <c:pt idx="0">
                  <c:v>Alberghi e ristoranti</c:v>
                </c:pt>
                <c:pt idx="1">
                  <c:v>Attività professionali</c:v>
                </c:pt>
                <c:pt idx="2">
                  <c:v>Manifattura</c:v>
                </c:pt>
                <c:pt idx="3">
                  <c:v>Attività immobiliari</c:v>
                </c:pt>
                <c:pt idx="4">
                  <c:v>Trasporti</c:v>
                </c:pt>
                <c:pt idx="5">
                  <c:v>Commercio</c:v>
                </c:pt>
              </c:strCache>
            </c:strRef>
          </c:cat>
          <c:val>
            <c:numRef>
              <c:f>Foglio1!$D$2:$D$7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000696"/>
        <c:axId val="134001088"/>
      </c:barChart>
      <c:catAx>
        <c:axId val="1340006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4001088"/>
        <c:crosses val="autoZero"/>
        <c:auto val="1"/>
        <c:lblAlgn val="ctr"/>
        <c:lblOffset val="100"/>
        <c:noMultiLvlLbl val="0"/>
      </c:catAx>
      <c:valAx>
        <c:axId val="13400108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340006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Bonvicini Isabella</dc:creator>
  <cp:lastModifiedBy>Fiera56</cp:lastModifiedBy>
  <cp:revision>2</cp:revision>
  <cp:lastPrinted>2017-02-01T08:20:00Z</cp:lastPrinted>
  <dcterms:created xsi:type="dcterms:W3CDTF">2017-02-01T13:47:00Z</dcterms:created>
  <dcterms:modified xsi:type="dcterms:W3CDTF">2017-02-01T13:47:00Z</dcterms:modified>
</cp:coreProperties>
</file>